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04B" w:rsidRDefault="00F4404B" w:rsidP="00964D30">
      <w:pPr>
        <w:spacing w:after="0" w:line="240" w:lineRule="auto"/>
        <w:jc w:val="center"/>
        <w:rPr>
          <w:rFonts w:ascii="Times New Roman" w:hAnsi="Times New Roman" w:cs="Times New Roman"/>
          <w:b/>
          <w:color w:val="76923C" w:themeColor="accent3" w:themeShade="BF"/>
          <w:sz w:val="48"/>
          <w:szCs w:val="48"/>
        </w:rPr>
      </w:pPr>
    </w:p>
    <w:p w:rsidR="0022183E" w:rsidRDefault="0022183E" w:rsidP="00964D30">
      <w:pPr>
        <w:spacing w:after="0" w:line="240" w:lineRule="auto"/>
        <w:jc w:val="center"/>
        <w:rPr>
          <w:rFonts w:ascii="Times New Roman" w:hAnsi="Times New Roman" w:cs="Times New Roman"/>
          <w:b/>
          <w:color w:val="76923C" w:themeColor="accent3" w:themeShade="BF"/>
          <w:sz w:val="48"/>
          <w:szCs w:val="48"/>
        </w:rPr>
      </w:pPr>
    </w:p>
    <w:p w:rsidR="00964D30" w:rsidRPr="00226A3C" w:rsidRDefault="00964D30" w:rsidP="00964D30">
      <w:pPr>
        <w:spacing w:after="0" w:line="240" w:lineRule="auto"/>
        <w:jc w:val="center"/>
        <w:rPr>
          <w:rFonts w:ascii="Times New Roman" w:hAnsi="Times New Roman" w:cs="Times New Roman"/>
          <w:b/>
          <w:color w:val="76923C" w:themeColor="accent3" w:themeShade="BF"/>
          <w:sz w:val="48"/>
          <w:szCs w:val="48"/>
        </w:rPr>
      </w:pPr>
      <w:r w:rsidRPr="00226A3C">
        <w:rPr>
          <w:rFonts w:ascii="Times New Roman" w:hAnsi="Times New Roman" w:cs="Times New Roman"/>
          <w:b/>
          <w:color w:val="76923C" w:themeColor="accent3" w:themeShade="BF"/>
          <w:sz w:val="48"/>
          <w:szCs w:val="48"/>
        </w:rPr>
        <w:t xml:space="preserve">Электронный </w:t>
      </w:r>
    </w:p>
    <w:p w:rsidR="00964D30" w:rsidRPr="00226A3C" w:rsidRDefault="00964D30" w:rsidP="00964D3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6923C" w:themeColor="accent3" w:themeShade="BF"/>
          <w:sz w:val="36"/>
          <w:szCs w:val="36"/>
        </w:rPr>
      </w:pPr>
      <w:r w:rsidRPr="00226A3C">
        <w:rPr>
          <w:rFonts w:ascii="Times New Roman" w:hAnsi="Times New Roman" w:cs="Times New Roman"/>
          <w:b/>
          <w:i/>
          <w:color w:val="76923C" w:themeColor="accent3" w:themeShade="BF"/>
          <w:sz w:val="36"/>
          <w:szCs w:val="36"/>
        </w:rPr>
        <w:t xml:space="preserve">информационный </w:t>
      </w:r>
    </w:p>
    <w:p w:rsidR="00964D30" w:rsidRPr="00226A3C" w:rsidRDefault="00964D30" w:rsidP="00964D30">
      <w:pPr>
        <w:spacing w:after="0" w:line="240" w:lineRule="auto"/>
        <w:jc w:val="center"/>
        <w:rPr>
          <w:rFonts w:ascii="Times New Roman" w:hAnsi="Times New Roman" w:cs="Times New Roman"/>
          <w:b/>
          <w:color w:val="76923C" w:themeColor="accent3" w:themeShade="BF"/>
          <w:sz w:val="48"/>
          <w:szCs w:val="48"/>
        </w:rPr>
      </w:pPr>
      <w:r w:rsidRPr="00226A3C">
        <w:rPr>
          <w:rFonts w:ascii="Times New Roman" w:hAnsi="Times New Roman" w:cs="Times New Roman"/>
          <w:b/>
          <w:color w:val="76923C" w:themeColor="accent3" w:themeShade="BF"/>
          <w:sz w:val="48"/>
          <w:szCs w:val="48"/>
        </w:rPr>
        <w:t>Бюллетень</w:t>
      </w:r>
    </w:p>
    <w:p w:rsidR="00964D30" w:rsidRPr="00226A3C" w:rsidRDefault="00964D30" w:rsidP="00964D30">
      <w:pPr>
        <w:spacing w:after="0" w:line="240" w:lineRule="auto"/>
        <w:jc w:val="center"/>
        <w:rPr>
          <w:rFonts w:ascii="Times New Roman" w:hAnsi="Times New Roman" w:cs="Times New Roman"/>
          <w:b/>
          <w:color w:val="76923C" w:themeColor="accent3" w:themeShade="BF"/>
          <w:sz w:val="36"/>
          <w:szCs w:val="36"/>
        </w:rPr>
      </w:pPr>
      <w:r w:rsidRPr="00226A3C">
        <w:rPr>
          <w:rFonts w:ascii="Times New Roman" w:hAnsi="Times New Roman" w:cs="Times New Roman"/>
          <w:b/>
          <w:color w:val="76923C" w:themeColor="accent3" w:themeShade="BF"/>
          <w:sz w:val="36"/>
          <w:szCs w:val="36"/>
        </w:rPr>
        <w:t xml:space="preserve">Совета Контрольно-счетных органов </w:t>
      </w:r>
    </w:p>
    <w:p w:rsidR="00964D30" w:rsidRPr="00226A3C" w:rsidRDefault="00964D30" w:rsidP="00964D30">
      <w:pPr>
        <w:spacing w:after="0" w:line="240" w:lineRule="auto"/>
        <w:jc w:val="center"/>
        <w:rPr>
          <w:rFonts w:ascii="Times New Roman" w:hAnsi="Times New Roman" w:cs="Times New Roman"/>
          <w:b/>
          <w:color w:val="76923C" w:themeColor="accent3" w:themeShade="BF"/>
          <w:sz w:val="36"/>
          <w:szCs w:val="36"/>
        </w:rPr>
      </w:pPr>
      <w:r w:rsidRPr="00226A3C">
        <w:rPr>
          <w:rFonts w:ascii="Times New Roman" w:hAnsi="Times New Roman" w:cs="Times New Roman"/>
          <w:b/>
          <w:color w:val="76923C" w:themeColor="accent3" w:themeShade="BF"/>
          <w:sz w:val="36"/>
          <w:szCs w:val="36"/>
        </w:rPr>
        <w:t>Томской области</w:t>
      </w:r>
    </w:p>
    <w:p w:rsidR="00964D30" w:rsidRDefault="00964D30" w:rsidP="00964D30">
      <w:pPr>
        <w:spacing w:after="0" w:line="240" w:lineRule="auto"/>
        <w:jc w:val="center"/>
        <w:rPr>
          <w:rFonts w:ascii="Times New Roman" w:hAnsi="Times New Roman" w:cs="Times New Roman"/>
          <w:b/>
          <w:color w:val="76923C" w:themeColor="accent3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76923C" w:themeColor="accent3" w:themeShade="BF"/>
          <w:sz w:val="36"/>
          <w:szCs w:val="36"/>
        </w:rPr>
        <w:t>№ 2</w:t>
      </w:r>
      <w:r w:rsidRPr="00226A3C">
        <w:rPr>
          <w:rFonts w:ascii="Times New Roman" w:hAnsi="Times New Roman" w:cs="Times New Roman"/>
          <w:b/>
          <w:color w:val="76923C" w:themeColor="accent3" w:themeShade="BF"/>
          <w:sz w:val="36"/>
          <w:szCs w:val="36"/>
        </w:rPr>
        <w:t xml:space="preserve"> (</w:t>
      </w:r>
      <w:r>
        <w:rPr>
          <w:rFonts w:ascii="Times New Roman" w:hAnsi="Times New Roman" w:cs="Times New Roman"/>
          <w:b/>
          <w:color w:val="76923C" w:themeColor="accent3" w:themeShade="BF"/>
          <w:sz w:val="36"/>
          <w:szCs w:val="36"/>
        </w:rPr>
        <w:t>9</w:t>
      </w:r>
      <w:r w:rsidRPr="00226A3C">
        <w:rPr>
          <w:rFonts w:ascii="Times New Roman" w:hAnsi="Times New Roman" w:cs="Times New Roman"/>
          <w:b/>
          <w:color w:val="76923C" w:themeColor="accent3" w:themeShade="BF"/>
          <w:sz w:val="36"/>
          <w:szCs w:val="36"/>
        </w:rPr>
        <w:t>)</w:t>
      </w:r>
    </w:p>
    <w:p w:rsidR="0022183E" w:rsidRDefault="0022183E" w:rsidP="00964D30">
      <w:pPr>
        <w:spacing w:after="0" w:line="240" w:lineRule="auto"/>
        <w:jc w:val="center"/>
        <w:rPr>
          <w:rFonts w:ascii="Times New Roman" w:hAnsi="Times New Roman" w:cs="Times New Roman"/>
          <w:b/>
          <w:color w:val="76923C" w:themeColor="accent3" w:themeShade="BF"/>
          <w:sz w:val="36"/>
          <w:szCs w:val="36"/>
        </w:rPr>
      </w:pPr>
    </w:p>
    <w:p w:rsidR="0022183E" w:rsidRPr="00226A3C" w:rsidRDefault="0022183E" w:rsidP="00964D30">
      <w:pPr>
        <w:spacing w:after="0" w:line="240" w:lineRule="auto"/>
        <w:jc w:val="center"/>
        <w:rPr>
          <w:rFonts w:ascii="Times New Roman" w:hAnsi="Times New Roman" w:cs="Times New Roman"/>
          <w:b/>
          <w:color w:val="76923C" w:themeColor="accent3" w:themeShade="BF"/>
          <w:sz w:val="36"/>
          <w:szCs w:val="36"/>
        </w:rPr>
      </w:pPr>
    </w:p>
    <w:p w:rsidR="00964D30" w:rsidRDefault="00964D30" w:rsidP="00964D3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>июнь</w:t>
      </w:r>
      <w:r w:rsidRPr="00226A3C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>-2016</w:t>
      </w:r>
    </w:p>
    <w:p w:rsidR="00964D30" w:rsidRDefault="00964D30" w:rsidP="00964D3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</w:pPr>
    </w:p>
    <w:p w:rsidR="0022183E" w:rsidRPr="00226A3C" w:rsidRDefault="0022183E" w:rsidP="00964D3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</w:pPr>
    </w:p>
    <w:p w:rsidR="00964D30" w:rsidRPr="00EA023E" w:rsidRDefault="00964D30" w:rsidP="00EA023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23E">
        <w:rPr>
          <w:rFonts w:ascii="Times New Roman" w:hAnsi="Times New Roman" w:cs="Times New Roman"/>
          <w:b/>
          <w:sz w:val="28"/>
          <w:szCs w:val="28"/>
        </w:rPr>
        <w:t>Отчет о работе Контрольно-счетного органа - ревизионной комиссии  муниципального образования «Парабельский район» в 2015 году</w:t>
      </w:r>
    </w:p>
    <w:p w:rsidR="00AD3326" w:rsidRPr="00AD3326" w:rsidRDefault="00AD3326" w:rsidP="00EA023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4D30" w:rsidRPr="00EA023E" w:rsidRDefault="00964D30" w:rsidP="00EA023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A023E">
        <w:rPr>
          <w:rFonts w:ascii="Times New Roman" w:hAnsi="Times New Roman" w:cs="Times New Roman"/>
          <w:b/>
          <w:iCs/>
          <w:sz w:val="28"/>
          <w:szCs w:val="28"/>
        </w:rPr>
        <w:t>Интервью председателя Счетной палаты Колпашевского района А.</w:t>
      </w:r>
      <w:r w:rsidR="00C310FE" w:rsidRPr="00EA023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EA023E">
        <w:rPr>
          <w:rFonts w:ascii="Times New Roman" w:hAnsi="Times New Roman" w:cs="Times New Roman"/>
          <w:b/>
          <w:iCs/>
          <w:sz w:val="28"/>
          <w:szCs w:val="28"/>
        </w:rPr>
        <w:t>Муратова</w:t>
      </w:r>
      <w:r w:rsidR="00C310FE" w:rsidRPr="00EA023E">
        <w:rPr>
          <w:rFonts w:ascii="Times New Roman" w:hAnsi="Times New Roman" w:cs="Times New Roman"/>
          <w:b/>
          <w:iCs/>
          <w:sz w:val="28"/>
          <w:szCs w:val="28"/>
        </w:rPr>
        <w:t xml:space="preserve"> редакции </w:t>
      </w:r>
      <w:r w:rsidRPr="00EA023E">
        <w:rPr>
          <w:rFonts w:ascii="Times New Roman" w:hAnsi="Times New Roman" w:cs="Times New Roman"/>
          <w:b/>
          <w:iCs/>
          <w:sz w:val="28"/>
          <w:szCs w:val="28"/>
        </w:rPr>
        <w:t>газет</w:t>
      </w:r>
      <w:r w:rsidR="00C310FE" w:rsidRPr="00EA023E">
        <w:rPr>
          <w:rFonts w:ascii="Times New Roman" w:hAnsi="Times New Roman" w:cs="Times New Roman"/>
          <w:b/>
          <w:iCs/>
          <w:sz w:val="28"/>
          <w:szCs w:val="28"/>
        </w:rPr>
        <w:t>ы</w:t>
      </w:r>
      <w:r w:rsidRPr="00EA023E">
        <w:rPr>
          <w:rFonts w:ascii="Times New Roman" w:hAnsi="Times New Roman" w:cs="Times New Roman"/>
          <w:b/>
          <w:iCs/>
          <w:sz w:val="28"/>
          <w:szCs w:val="28"/>
        </w:rPr>
        <w:t xml:space="preserve"> «Из первых рук» </w:t>
      </w:r>
      <w:r w:rsidR="00C310FE" w:rsidRPr="00EA023E">
        <w:rPr>
          <w:rFonts w:ascii="Times New Roman" w:hAnsi="Times New Roman" w:cs="Times New Roman"/>
          <w:b/>
          <w:iCs/>
          <w:sz w:val="28"/>
          <w:szCs w:val="28"/>
        </w:rPr>
        <w:t>(г. Колпашево)</w:t>
      </w:r>
    </w:p>
    <w:p w:rsidR="00AD3326" w:rsidRPr="00AD3326" w:rsidRDefault="00AD3326" w:rsidP="00EA023E">
      <w:pPr>
        <w:pStyle w:val="a5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C310FE" w:rsidRPr="00EA023E" w:rsidRDefault="00C310FE" w:rsidP="00EA023E">
      <w:pPr>
        <w:pStyle w:val="a5"/>
        <w:numPr>
          <w:ilvl w:val="0"/>
          <w:numId w:val="7"/>
        </w:numPr>
        <w:spacing w:after="0" w:line="240" w:lineRule="auto"/>
        <w:jc w:val="both"/>
        <w:outlineLvl w:val="0"/>
        <w:rPr>
          <w:rFonts w:ascii="PTSansBold" w:eastAsia="Times New Roman" w:hAnsi="PTSansBold" w:cs="Times New Roman"/>
          <w:b/>
          <w:color w:val="000000"/>
          <w:kern w:val="36"/>
          <w:sz w:val="28"/>
          <w:szCs w:val="28"/>
          <w:lang w:eastAsia="ru-RU"/>
        </w:rPr>
      </w:pPr>
      <w:r w:rsidRPr="00EA023E">
        <w:rPr>
          <w:rFonts w:ascii="PTSansBold" w:eastAsia="Times New Roman" w:hAnsi="PTSansBold" w:cs="Times New Roman"/>
          <w:b/>
          <w:color w:val="000000"/>
          <w:kern w:val="36"/>
          <w:sz w:val="28"/>
          <w:szCs w:val="28"/>
          <w:lang w:eastAsia="ru-RU"/>
        </w:rPr>
        <w:t>Счетная палата РФ совместно с региональными контрольно-счетными органами проверяет доступност</w:t>
      </w:r>
      <w:r w:rsidR="00091788" w:rsidRPr="00EA023E">
        <w:rPr>
          <w:rFonts w:ascii="PTSansBold" w:eastAsia="Times New Roman" w:hAnsi="PTSansBold" w:cs="Times New Roman"/>
          <w:b/>
          <w:color w:val="000000"/>
          <w:kern w:val="36"/>
          <w:sz w:val="28"/>
          <w:szCs w:val="28"/>
          <w:lang w:eastAsia="ru-RU"/>
        </w:rPr>
        <w:t>ь</w:t>
      </w:r>
      <w:r w:rsidRPr="00EA023E">
        <w:rPr>
          <w:rFonts w:ascii="PTSansBold" w:eastAsia="Times New Roman" w:hAnsi="PTSansBold" w:cs="Times New Roman"/>
          <w:b/>
          <w:color w:val="000000"/>
          <w:kern w:val="36"/>
          <w:sz w:val="28"/>
          <w:szCs w:val="28"/>
          <w:lang w:eastAsia="ru-RU"/>
        </w:rPr>
        <w:t xml:space="preserve"> услуг в сфере соцобслуживания населения</w:t>
      </w:r>
    </w:p>
    <w:p w:rsidR="007478A8" w:rsidRPr="007478A8" w:rsidRDefault="007478A8" w:rsidP="00091788">
      <w:pPr>
        <w:pStyle w:val="a5"/>
        <w:jc w:val="both"/>
        <w:rPr>
          <w:rFonts w:ascii="PTSansBold" w:eastAsia="Times New Roman" w:hAnsi="PTSansBold" w:cs="Times New Roman"/>
          <w:b/>
          <w:color w:val="000000"/>
          <w:kern w:val="36"/>
          <w:sz w:val="28"/>
          <w:szCs w:val="28"/>
          <w:lang w:eastAsia="ru-RU"/>
        </w:rPr>
      </w:pPr>
    </w:p>
    <w:p w:rsidR="00EA023E" w:rsidRDefault="0061539F" w:rsidP="00EA023E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EA023E" w:rsidRPr="00EA02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Вернут ли регионы государству 2,3 триллиона рублей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  <w:r w:rsidR="00EA023E" w:rsidRPr="00EA02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"Парламентская газета" </w:t>
      </w:r>
      <w:r w:rsidR="002218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(</w:t>
      </w:r>
      <w:r w:rsidR="00EA023E" w:rsidRPr="00615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 мая 2016 г.</w:t>
      </w:r>
      <w:r w:rsidR="00221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22183E" w:rsidRPr="0022183E" w:rsidRDefault="0022183E" w:rsidP="0022183E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83E" w:rsidRDefault="0022183E" w:rsidP="0022183E">
      <w:pPr>
        <w:pStyle w:val="a5"/>
        <w:spacing w:before="100" w:beforeAutospacing="1" w:after="100" w:afterAutospacing="1" w:line="240" w:lineRule="auto"/>
        <w:ind w:left="108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83E" w:rsidRPr="0061539F" w:rsidRDefault="0022183E" w:rsidP="0022183E">
      <w:pPr>
        <w:pStyle w:val="a5"/>
        <w:spacing w:before="100" w:beforeAutospacing="1" w:after="100" w:afterAutospacing="1" w:line="240" w:lineRule="auto"/>
        <w:ind w:left="108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04B" w:rsidRPr="00F4404B" w:rsidRDefault="00F4404B" w:rsidP="00F4404B">
      <w:pPr>
        <w:pStyle w:val="a7"/>
        <w:spacing w:before="0" w:beforeAutospacing="0" w:after="0" w:afterAutospacing="0"/>
        <w:jc w:val="right"/>
        <w:rPr>
          <w:rFonts w:asciiTheme="minorHAnsi" w:hAnsiTheme="minorHAnsi"/>
          <w:color w:val="76923C" w:themeColor="accent3" w:themeShade="BF"/>
        </w:rPr>
      </w:pPr>
      <w:r w:rsidRPr="00F4404B">
        <w:rPr>
          <w:rFonts w:asciiTheme="minorHAnsi" w:hAnsiTheme="minorHAnsi"/>
          <w:b/>
          <w:color w:val="76923C" w:themeColor="accent3" w:themeShade="BF"/>
        </w:rPr>
        <w:t>Редактор – Татьяна Валерьевна ГУБИНА</w:t>
      </w:r>
      <w:r w:rsidRPr="00F4404B">
        <w:rPr>
          <w:rFonts w:asciiTheme="minorHAnsi" w:hAnsiTheme="minorHAnsi"/>
          <w:color w:val="76923C" w:themeColor="accent3" w:themeShade="BF"/>
        </w:rPr>
        <w:t xml:space="preserve">, </w:t>
      </w:r>
    </w:p>
    <w:p w:rsidR="00F4404B" w:rsidRPr="00F4404B" w:rsidRDefault="00F4404B" w:rsidP="00F4404B">
      <w:pPr>
        <w:pStyle w:val="a7"/>
        <w:spacing w:before="0" w:beforeAutospacing="0" w:after="0" w:afterAutospacing="0"/>
        <w:jc w:val="right"/>
        <w:rPr>
          <w:rFonts w:asciiTheme="minorHAnsi" w:hAnsiTheme="minorHAnsi"/>
          <w:color w:val="76923C" w:themeColor="accent3" w:themeShade="BF"/>
        </w:rPr>
      </w:pPr>
      <w:r w:rsidRPr="00F4404B">
        <w:rPr>
          <w:rFonts w:asciiTheme="minorHAnsi" w:hAnsiTheme="minorHAnsi"/>
          <w:color w:val="76923C" w:themeColor="accent3" w:themeShade="BF"/>
        </w:rPr>
        <w:t xml:space="preserve">консультант организационно-аналитического отдела </w:t>
      </w:r>
    </w:p>
    <w:p w:rsidR="00F4404B" w:rsidRPr="00F4404B" w:rsidRDefault="00F4404B" w:rsidP="00F4404B">
      <w:pPr>
        <w:pStyle w:val="a7"/>
        <w:spacing w:before="0" w:beforeAutospacing="0" w:after="0" w:afterAutospacing="0"/>
        <w:jc w:val="right"/>
        <w:rPr>
          <w:rFonts w:asciiTheme="minorHAnsi" w:hAnsiTheme="minorHAnsi"/>
          <w:color w:val="76923C" w:themeColor="accent3" w:themeShade="BF"/>
        </w:rPr>
      </w:pPr>
      <w:r w:rsidRPr="00F4404B">
        <w:rPr>
          <w:rFonts w:asciiTheme="minorHAnsi" w:hAnsiTheme="minorHAnsi"/>
          <w:color w:val="76923C" w:themeColor="accent3" w:themeShade="BF"/>
        </w:rPr>
        <w:t>Контрольно-счетной палаты Томской области</w:t>
      </w:r>
    </w:p>
    <w:p w:rsidR="00F4404B" w:rsidRPr="00F4404B" w:rsidRDefault="00F4404B" w:rsidP="00F4404B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jc w:val="right"/>
        <w:rPr>
          <w:rFonts w:asciiTheme="minorHAnsi" w:hAnsiTheme="minorHAnsi"/>
          <w:color w:val="76923C" w:themeColor="accent3" w:themeShade="BF"/>
        </w:rPr>
      </w:pPr>
      <w:r w:rsidRPr="00F4404B">
        <w:rPr>
          <w:rFonts w:asciiTheme="minorHAnsi" w:hAnsiTheme="minorHAnsi"/>
          <w:color w:val="76923C" w:themeColor="accent3" w:themeShade="BF"/>
        </w:rPr>
        <w:t>(382-2)52-11-64</w:t>
      </w:r>
    </w:p>
    <w:p w:rsidR="00F4404B" w:rsidRPr="00810CE3" w:rsidRDefault="00AF3DE6" w:rsidP="00F4404B">
      <w:pPr>
        <w:pStyle w:val="a7"/>
        <w:pBdr>
          <w:bottom w:val="single" w:sz="12" w:space="1" w:color="auto"/>
        </w:pBdr>
        <w:spacing w:before="0" w:beforeAutospacing="0" w:after="0" w:afterAutospacing="0" w:line="360" w:lineRule="auto"/>
        <w:ind w:left="720"/>
        <w:jc w:val="right"/>
        <w:rPr>
          <w:rFonts w:asciiTheme="minorHAnsi" w:hAnsiTheme="minorHAnsi"/>
          <w:lang w:val="en-US"/>
        </w:rPr>
      </w:pPr>
      <w:hyperlink r:id="rId9" w:history="1">
        <w:r w:rsidR="00F4404B" w:rsidRPr="00810CE3">
          <w:rPr>
            <w:rStyle w:val="a6"/>
            <w:rFonts w:asciiTheme="minorHAnsi" w:hAnsiTheme="minorHAnsi"/>
            <w:lang w:val="en-US"/>
          </w:rPr>
          <w:t>GubinaTV@audit.tomsk.ru</w:t>
        </w:r>
      </w:hyperlink>
    </w:p>
    <w:p w:rsidR="007478A8" w:rsidRPr="00AD3326" w:rsidRDefault="007478A8" w:rsidP="007478A8">
      <w:pPr>
        <w:pStyle w:val="a5"/>
        <w:spacing w:after="0" w:line="240" w:lineRule="auto"/>
        <w:outlineLvl w:val="0"/>
        <w:rPr>
          <w:rFonts w:ascii="PTSansBold" w:eastAsia="Times New Roman" w:hAnsi="PTSansBold" w:cs="Times New Roman"/>
          <w:b/>
          <w:color w:val="000000"/>
          <w:kern w:val="36"/>
          <w:sz w:val="28"/>
          <w:szCs w:val="28"/>
          <w:lang w:eastAsia="ru-RU"/>
        </w:rPr>
      </w:pPr>
    </w:p>
    <w:p w:rsidR="00C310FE" w:rsidRDefault="00C310FE" w:rsidP="00C310F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310FE" w:rsidRPr="00C310FE" w:rsidRDefault="00C310FE" w:rsidP="00C310FE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C310FE">
        <w:rPr>
          <w:rFonts w:ascii="Times New Roman" w:hAnsi="Times New Roman" w:cs="Times New Roman"/>
          <w:b/>
          <w:sz w:val="28"/>
          <w:szCs w:val="28"/>
        </w:rPr>
        <w:lastRenderedPageBreak/>
        <w:t>Отчет о работе Контрольно-счетного органа - ревизионной комиссии  муниципального образования «Парабельский район» в 2015 году</w:t>
      </w:r>
    </w:p>
    <w:p w:rsidR="00C310FE" w:rsidRDefault="00C310FE" w:rsidP="00AB45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E118F">
        <w:rPr>
          <w:rFonts w:ascii="Times New Roman" w:hAnsi="Times New Roman" w:cs="Times New Roman"/>
          <w:sz w:val="24"/>
          <w:szCs w:val="24"/>
        </w:rPr>
        <w:t xml:space="preserve">Настоящий отчет подготовлен в </w:t>
      </w:r>
      <w:r w:rsidRPr="00FE118F">
        <w:rPr>
          <w:rFonts w:ascii="Times New Roman" w:hAnsi="Times New Roman" w:cs="Times New Roman"/>
          <w:bCs/>
          <w:sz w:val="24"/>
          <w:szCs w:val="24"/>
        </w:rPr>
        <w:t>целях реализации</w:t>
      </w:r>
      <w:r w:rsidRPr="00FE118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310FE">
        <w:rPr>
          <w:rFonts w:ascii="Times New Roman" w:hAnsi="Times New Roman" w:cs="Times New Roman"/>
          <w:bCs/>
          <w:sz w:val="24"/>
          <w:szCs w:val="24"/>
        </w:rPr>
        <w:t>ст</w:t>
      </w:r>
      <w:r w:rsidRPr="00FE118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E118F">
        <w:rPr>
          <w:rFonts w:ascii="Times New Roman" w:hAnsi="Times New Roman" w:cs="Times New Roman"/>
          <w:sz w:val="24"/>
          <w:szCs w:val="24"/>
        </w:rPr>
        <w:t xml:space="preserve"> 14 Положения « О Контрольно-счетном органе-Ревизионной комиссии муниципального образования «Парабельский район», утвержденного решением Думы Парабельского района от 06.09.2011 года № 40 </w:t>
      </w:r>
      <w:r w:rsidRPr="00FE118F">
        <w:rPr>
          <w:rFonts w:ascii="Times New Roman" w:hAnsi="Times New Roman" w:cs="Times New Roman"/>
          <w:bCs/>
          <w:sz w:val="24"/>
          <w:szCs w:val="24"/>
        </w:rPr>
        <w:t>и</w:t>
      </w:r>
      <w:r w:rsidRPr="00FE11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118F">
        <w:rPr>
          <w:rFonts w:ascii="Times New Roman" w:hAnsi="Times New Roman" w:cs="Times New Roman"/>
          <w:bCs/>
          <w:sz w:val="24"/>
          <w:szCs w:val="24"/>
        </w:rPr>
        <w:t>включает в себя</w:t>
      </w:r>
      <w:r w:rsidRPr="00FE11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118F">
        <w:rPr>
          <w:rFonts w:ascii="Times New Roman" w:hAnsi="Times New Roman" w:cs="Times New Roman"/>
          <w:bCs/>
          <w:sz w:val="24"/>
          <w:szCs w:val="24"/>
        </w:rPr>
        <w:t>общие сведения о деятельности Контрольно-счетного органа</w:t>
      </w:r>
      <w:r w:rsidRPr="00FE118F">
        <w:rPr>
          <w:rFonts w:ascii="Times New Roman" w:hAnsi="Times New Roman" w:cs="Times New Roman"/>
          <w:sz w:val="24"/>
          <w:szCs w:val="24"/>
        </w:rPr>
        <w:t>-Ревизионной комиссии муниципального образования «Парабельский район</w:t>
      </w:r>
      <w:r w:rsidRPr="00FE11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FE118F">
        <w:rPr>
          <w:rFonts w:ascii="Times New Roman" w:hAnsi="Times New Roman" w:cs="Times New Roman"/>
          <w:bCs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bCs/>
          <w:sz w:val="24"/>
          <w:szCs w:val="24"/>
        </w:rPr>
        <w:t>Контрольно-счетный орган) в 2015</w:t>
      </w:r>
      <w:r w:rsidRPr="00FE118F">
        <w:rPr>
          <w:rFonts w:ascii="Times New Roman" w:hAnsi="Times New Roman" w:cs="Times New Roman"/>
          <w:bCs/>
          <w:sz w:val="24"/>
          <w:szCs w:val="24"/>
        </w:rPr>
        <w:t xml:space="preserve"> году, о результатах  проведенных экспертно-аналитических меропр</w:t>
      </w:r>
      <w:r>
        <w:rPr>
          <w:rFonts w:ascii="Times New Roman" w:hAnsi="Times New Roman" w:cs="Times New Roman"/>
          <w:bCs/>
          <w:sz w:val="24"/>
          <w:szCs w:val="24"/>
        </w:rPr>
        <w:t>иятий, вытекающие из них выводы, р</w:t>
      </w:r>
      <w:r w:rsidRPr="00FE118F">
        <w:rPr>
          <w:rFonts w:ascii="Times New Roman" w:hAnsi="Times New Roman" w:cs="Times New Roman"/>
          <w:bCs/>
          <w:sz w:val="24"/>
          <w:szCs w:val="24"/>
        </w:rPr>
        <w:t>екомендации и предложения.</w:t>
      </w:r>
    </w:p>
    <w:p w:rsidR="00C310FE" w:rsidRPr="00FE118F" w:rsidRDefault="00C310FE" w:rsidP="00C310F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0FE" w:rsidRPr="00FE118F" w:rsidRDefault="00C310FE" w:rsidP="00C310F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18F">
        <w:rPr>
          <w:rFonts w:ascii="Times New Roman" w:hAnsi="Times New Roman" w:cs="Times New Roman"/>
          <w:b/>
          <w:sz w:val="24"/>
          <w:szCs w:val="24"/>
        </w:rPr>
        <w:t>1. Общие сведения о деятельности Контрольно-счетного органа</w:t>
      </w:r>
    </w:p>
    <w:p w:rsidR="00C310FE" w:rsidRDefault="00C310FE" w:rsidP="00AB4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</w:t>
      </w:r>
      <w:r w:rsidRPr="00FE118F">
        <w:rPr>
          <w:rFonts w:ascii="Times New Roman" w:hAnsi="Times New Roman" w:cs="Times New Roman"/>
          <w:sz w:val="24"/>
          <w:szCs w:val="24"/>
        </w:rPr>
        <w:t xml:space="preserve"> году Контрольно-счетный орган осуществл</w:t>
      </w:r>
      <w:r>
        <w:rPr>
          <w:rFonts w:ascii="Times New Roman" w:hAnsi="Times New Roman" w:cs="Times New Roman"/>
          <w:sz w:val="24"/>
          <w:szCs w:val="24"/>
        </w:rPr>
        <w:t>ял</w:t>
      </w:r>
      <w:r w:rsidRPr="00FE118F">
        <w:rPr>
          <w:rFonts w:ascii="Times New Roman" w:hAnsi="Times New Roman" w:cs="Times New Roman"/>
          <w:sz w:val="24"/>
          <w:szCs w:val="24"/>
        </w:rPr>
        <w:t xml:space="preserve"> свою деятельность</w:t>
      </w:r>
      <w:r w:rsidRPr="00007DF9">
        <w:rPr>
          <w:rFonts w:ascii="Times New Roman" w:hAnsi="Times New Roman" w:cs="Times New Roman"/>
          <w:sz w:val="24"/>
          <w:szCs w:val="24"/>
        </w:rPr>
        <w:t xml:space="preserve"> </w:t>
      </w:r>
      <w:r w:rsidRPr="00FE118F">
        <w:rPr>
          <w:rFonts w:ascii="Times New Roman" w:hAnsi="Times New Roman" w:cs="Times New Roman"/>
          <w:sz w:val="24"/>
          <w:szCs w:val="24"/>
        </w:rPr>
        <w:t>в соот</w:t>
      </w:r>
      <w:r>
        <w:rPr>
          <w:rFonts w:ascii="Times New Roman" w:hAnsi="Times New Roman" w:cs="Times New Roman"/>
          <w:sz w:val="24"/>
          <w:szCs w:val="24"/>
        </w:rPr>
        <w:t>ветствии с планом работы на 2015</w:t>
      </w:r>
      <w:r w:rsidRPr="00FE118F">
        <w:rPr>
          <w:rFonts w:ascii="Times New Roman" w:hAnsi="Times New Roman" w:cs="Times New Roman"/>
          <w:sz w:val="24"/>
          <w:szCs w:val="24"/>
        </w:rPr>
        <w:t xml:space="preserve"> год, утвержденным приказом председателя Контрольно-счетного органа, обеспечивая единую систему контроля исполнения районного бюджета и бюджетов сельских поселений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118F">
        <w:rPr>
          <w:rFonts w:ascii="Times New Roman" w:hAnsi="Times New Roman" w:cs="Times New Roman"/>
          <w:sz w:val="24"/>
          <w:szCs w:val="24"/>
        </w:rPr>
        <w:t xml:space="preserve"> План работы был сформирован исходя из необходимости обеспечения полноты реализации полномочий Контрольно-счетного органа как органа внешнего финансового контроля муниципального образования. </w:t>
      </w:r>
    </w:p>
    <w:p w:rsidR="00C310FE" w:rsidRDefault="00C310FE" w:rsidP="00AB4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работы в 2015</w:t>
      </w:r>
      <w:r w:rsidRPr="00FE118F">
        <w:rPr>
          <w:rFonts w:ascii="Times New Roman" w:hAnsi="Times New Roman" w:cs="Times New Roman"/>
          <w:sz w:val="24"/>
          <w:szCs w:val="24"/>
        </w:rPr>
        <w:t xml:space="preserve"> году традиционно строилась на укреплении и развитии основополагающих принципов эффективного функционирования органа внешнего финансового контроля: законности, объективности, эффективности, независимости и гласности. В рамках каждого контрольного и экспертно-аналитического мероприятия анализировалось соблюдение требований законодательства в сфере бюджетных правоотношений. </w:t>
      </w:r>
    </w:p>
    <w:p w:rsidR="00AB4513" w:rsidRDefault="00AB4513" w:rsidP="00AB4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0FE" w:rsidRDefault="00C310FE" w:rsidP="00AB45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18F">
        <w:rPr>
          <w:rFonts w:ascii="Times New Roman" w:hAnsi="Times New Roman" w:cs="Times New Roman"/>
          <w:b/>
          <w:sz w:val="24"/>
          <w:szCs w:val="24"/>
        </w:rPr>
        <w:t xml:space="preserve">2. Основные итоги работы Контрольно-счетного </w:t>
      </w:r>
      <w:r>
        <w:rPr>
          <w:rFonts w:ascii="Times New Roman" w:hAnsi="Times New Roman" w:cs="Times New Roman"/>
          <w:b/>
          <w:sz w:val="24"/>
          <w:szCs w:val="24"/>
        </w:rPr>
        <w:t>органа за 2015</w:t>
      </w:r>
      <w:r w:rsidRPr="00FE118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B4513" w:rsidRPr="00FE118F" w:rsidRDefault="00AB4513" w:rsidP="00AB4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0FE" w:rsidRDefault="00C310FE" w:rsidP="00AB4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8F">
        <w:rPr>
          <w:rFonts w:ascii="Times New Roman" w:hAnsi="Times New Roman" w:cs="Times New Roman"/>
          <w:sz w:val="24"/>
          <w:szCs w:val="24"/>
        </w:rPr>
        <w:t xml:space="preserve">В соответствии с планом </w:t>
      </w:r>
      <w:r>
        <w:rPr>
          <w:rFonts w:ascii="Times New Roman" w:hAnsi="Times New Roman" w:cs="Times New Roman"/>
          <w:sz w:val="24"/>
          <w:szCs w:val="24"/>
        </w:rPr>
        <w:t>работы в 2015</w:t>
      </w:r>
      <w:r w:rsidRPr="00FE118F">
        <w:rPr>
          <w:rFonts w:ascii="Times New Roman" w:hAnsi="Times New Roman" w:cs="Times New Roman"/>
          <w:sz w:val="24"/>
          <w:szCs w:val="24"/>
        </w:rPr>
        <w:t xml:space="preserve"> году проведено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FE118F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>
        <w:rPr>
          <w:rFonts w:ascii="Times New Roman" w:hAnsi="Times New Roman" w:cs="Times New Roman"/>
          <w:sz w:val="24"/>
          <w:szCs w:val="24"/>
        </w:rPr>
        <w:t>, в том чис</w:t>
      </w:r>
      <w:r w:rsidRPr="00FE118F">
        <w:rPr>
          <w:rFonts w:ascii="Times New Roman" w:hAnsi="Times New Roman" w:cs="Times New Roman"/>
          <w:sz w:val="24"/>
          <w:szCs w:val="24"/>
        </w:rPr>
        <w:t xml:space="preserve">ле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118F">
        <w:rPr>
          <w:rFonts w:ascii="Times New Roman" w:hAnsi="Times New Roman" w:cs="Times New Roman"/>
          <w:sz w:val="24"/>
          <w:szCs w:val="24"/>
        </w:rPr>
        <w:t xml:space="preserve"> контрольных и 12 экспертно-аналитичес</w:t>
      </w:r>
      <w:r>
        <w:rPr>
          <w:rFonts w:ascii="Times New Roman" w:hAnsi="Times New Roman" w:cs="Times New Roman"/>
          <w:sz w:val="24"/>
          <w:szCs w:val="24"/>
        </w:rPr>
        <w:t>ких меропри</w:t>
      </w:r>
      <w:r w:rsidRPr="00FE118F">
        <w:rPr>
          <w:rFonts w:ascii="Times New Roman" w:hAnsi="Times New Roman" w:cs="Times New Roman"/>
          <w:sz w:val="24"/>
          <w:szCs w:val="24"/>
        </w:rPr>
        <w:t>ятий.</w:t>
      </w:r>
    </w:p>
    <w:p w:rsidR="00C310FE" w:rsidRDefault="00C310FE" w:rsidP="00AB4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8F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E118F">
        <w:rPr>
          <w:rFonts w:ascii="Times New Roman" w:hAnsi="Times New Roman" w:cs="Times New Roman"/>
          <w:sz w:val="24"/>
          <w:szCs w:val="24"/>
        </w:rPr>
        <w:t>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18F">
        <w:rPr>
          <w:rFonts w:ascii="Times New Roman" w:hAnsi="Times New Roman" w:cs="Times New Roman"/>
          <w:sz w:val="24"/>
          <w:szCs w:val="24"/>
        </w:rPr>
        <w:t xml:space="preserve"> о результатах каждого контрольного и экспертно-аналитического мероприятия в установленном порядке представлены</w:t>
      </w:r>
      <w:r>
        <w:rPr>
          <w:rFonts w:ascii="Times New Roman" w:hAnsi="Times New Roman" w:cs="Times New Roman"/>
          <w:sz w:val="24"/>
          <w:szCs w:val="24"/>
        </w:rPr>
        <w:t xml:space="preserve"> в Думу Парабельского района и</w:t>
      </w:r>
      <w:r w:rsidRPr="00FE118F">
        <w:rPr>
          <w:rFonts w:ascii="Times New Roman" w:hAnsi="Times New Roman" w:cs="Times New Roman"/>
          <w:sz w:val="24"/>
          <w:szCs w:val="24"/>
        </w:rPr>
        <w:t xml:space="preserve"> Главе администрации Парабельского района.</w:t>
      </w:r>
    </w:p>
    <w:p w:rsidR="00C310FE" w:rsidRPr="00FE118F" w:rsidRDefault="00C310FE" w:rsidP="00AB4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4C8">
        <w:rPr>
          <w:rFonts w:ascii="Times New Roman" w:hAnsi="Times New Roman" w:cs="Times New Roman"/>
          <w:sz w:val="24"/>
          <w:szCs w:val="24"/>
        </w:rPr>
        <w:t>За</w:t>
      </w:r>
      <w:r w:rsidRPr="00FE118F">
        <w:rPr>
          <w:rFonts w:ascii="Times New Roman" w:hAnsi="Times New Roman" w:cs="Times New Roman"/>
          <w:sz w:val="24"/>
          <w:szCs w:val="24"/>
        </w:rPr>
        <w:t xml:space="preserve"> отчетный период контрольными мероприятиями был охвачен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E118F">
        <w:rPr>
          <w:rFonts w:ascii="Times New Roman" w:hAnsi="Times New Roman" w:cs="Times New Roman"/>
          <w:sz w:val="24"/>
          <w:szCs w:val="24"/>
        </w:rPr>
        <w:t xml:space="preserve"> 9 объектов, объем проверенных средств составил </w:t>
      </w:r>
      <w:r>
        <w:rPr>
          <w:rFonts w:ascii="Times New Roman" w:hAnsi="Times New Roman" w:cs="Times New Roman"/>
          <w:sz w:val="24"/>
          <w:szCs w:val="24"/>
        </w:rPr>
        <w:t>12532,7</w:t>
      </w:r>
      <w:r w:rsidRPr="00FE118F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Pr="00FE11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310FE" w:rsidRPr="00FE118F" w:rsidRDefault="00C310FE" w:rsidP="00AB4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8F">
        <w:rPr>
          <w:rFonts w:ascii="Times New Roman" w:hAnsi="Times New Roman" w:cs="Times New Roman"/>
          <w:sz w:val="24"/>
          <w:szCs w:val="24"/>
        </w:rPr>
        <w:t>Для принятия мер по устранению выявленных нарушений Контрольно-счетным органом  направле</w:t>
      </w:r>
      <w:r>
        <w:rPr>
          <w:rFonts w:ascii="Times New Roman" w:hAnsi="Times New Roman" w:cs="Times New Roman"/>
          <w:sz w:val="24"/>
          <w:szCs w:val="24"/>
        </w:rPr>
        <w:t xml:space="preserve">но 1 </w:t>
      </w:r>
      <w:r w:rsidR="009A7F23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редставление</w:t>
      </w:r>
      <w:r w:rsidRPr="00FE118F">
        <w:rPr>
          <w:rFonts w:ascii="Times New Roman" w:hAnsi="Times New Roman" w:cs="Times New Roman"/>
          <w:sz w:val="24"/>
          <w:szCs w:val="24"/>
        </w:rPr>
        <w:t xml:space="preserve"> руководителям проверенных учреждений и организаций. </w:t>
      </w:r>
    </w:p>
    <w:p w:rsidR="00C310FE" w:rsidRDefault="00C310FE" w:rsidP="00AB4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3EC">
        <w:rPr>
          <w:rFonts w:ascii="Times New Roman" w:hAnsi="Times New Roman" w:cs="Times New Roman"/>
          <w:sz w:val="24"/>
          <w:szCs w:val="24"/>
        </w:rPr>
        <w:t xml:space="preserve">По информации, предоставленной </w:t>
      </w:r>
      <w:r w:rsidRPr="00FE118F">
        <w:rPr>
          <w:rFonts w:ascii="Times New Roman" w:hAnsi="Times New Roman" w:cs="Times New Roman"/>
          <w:sz w:val="24"/>
          <w:szCs w:val="24"/>
        </w:rPr>
        <w:t>в Контрольно-счетный орган,  все замечания взяты на контроль, приняты меры по устранению нарушений и недопущению их в дальнейшем.</w:t>
      </w:r>
    </w:p>
    <w:p w:rsidR="00AB4513" w:rsidRPr="00FE118F" w:rsidRDefault="00AB4513" w:rsidP="00AB4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0FE" w:rsidRDefault="00C310FE" w:rsidP="00AB45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18F">
        <w:rPr>
          <w:rFonts w:ascii="Times New Roman" w:hAnsi="Times New Roman" w:cs="Times New Roman"/>
          <w:b/>
          <w:sz w:val="24"/>
          <w:szCs w:val="24"/>
        </w:rPr>
        <w:t>3. Результаты экспертно-аналитической деятельности Контрольно-счетного органа</w:t>
      </w:r>
    </w:p>
    <w:p w:rsidR="00AB4513" w:rsidRPr="00FE118F" w:rsidRDefault="00AB4513" w:rsidP="00AB4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0FE" w:rsidRDefault="00C310FE" w:rsidP="00AB4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8F">
        <w:rPr>
          <w:rFonts w:ascii="Times New Roman" w:hAnsi="Times New Roman" w:cs="Times New Roman"/>
          <w:sz w:val="24"/>
          <w:szCs w:val="24"/>
        </w:rPr>
        <w:t>Экспертно-аналитическая деятельность Контрольно-счетного органа включает в себя экспертизу проектов районного бюджета и бюджетов сельских поселений, нормативных правовых актов Парабельского района, подготовку заключений на отчеты Администрации Парабельског</w:t>
      </w:r>
      <w:r>
        <w:rPr>
          <w:rFonts w:ascii="Times New Roman" w:hAnsi="Times New Roman" w:cs="Times New Roman"/>
          <w:sz w:val="24"/>
          <w:szCs w:val="24"/>
        </w:rPr>
        <w:t>о района и проведение тематичес</w:t>
      </w:r>
      <w:r w:rsidRPr="00FE118F">
        <w:rPr>
          <w:rFonts w:ascii="Times New Roman" w:hAnsi="Times New Roman" w:cs="Times New Roman"/>
          <w:sz w:val="24"/>
          <w:szCs w:val="24"/>
        </w:rPr>
        <w:t>ких и  экспертно-аналитических мероприятий. Весь комплекс экспертно-аналитических мероприятий при подготовке заключений Контрольно-счетного органа осуществлен в рамках предварительного и последующего контроля, предусматривающего анализ соответствия действующему законодательству подготовленных Администрацией Парабельского района законопроектов, оценк</w:t>
      </w:r>
      <w:r>
        <w:rPr>
          <w:rFonts w:ascii="Times New Roman" w:hAnsi="Times New Roman" w:cs="Times New Roman"/>
          <w:sz w:val="24"/>
          <w:szCs w:val="24"/>
        </w:rPr>
        <w:t>у состояния нормативной и методической базы</w:t>
      </w:r>
      <w:r w:rsidRPr="00FE11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513" w:rsidRDefault="00AB4513" w:rsidP="00AB4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0FE" w:rsidRPr="00FE118F" w:rsidRDefault="00C310FE" w:rsidP="00C310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8F">
        <w:rPr>
          <w:rFonts w:ascii="Times New Roman" w:hAnsi="Times New Roman" w:cs="Times New Roman"/>
          <w:b/>
          <w:sz w:val="24"/>
          <w:szCs w:val="24"/>
        </w:rPr>
        <w:t>3.1. Предва</w:t>
      </w:r>
      <w:r w:rsidR="009A7F23">
        <w:rPr>
          <w:rFonts w:ascii="Times New Roman" w:hAnsi="Times New Roman" w:cs="Times New Roman"/>
          <w:b/>
          <w:sz w:val="24"/>
          <w:szCs w:val="24"/>
        </w:rPr>
        <w:t>ри</w:t>
      </w:r>
      <w:r w:rsidRPr="00FE118F">
        <w:rPr>
          <w:rFonts w:ascii="Times New Roman" w:hAnsi="Times New Roman" w:cs="Times New Roman"/>
          <w:b/>
          <w:sz w:val="24"/>
          <w:szCs w:val="24"/>
        </w:rPr>
        <w:t>тельный контроль</w:t>
      </w:r>
    </w:p>
    <w:p w:rsidR="00C310FE" w:rsidRDefault="00C310FE" w:rsidP="00AB4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8F">
        <w:rPr>
          <w:rFonts w:ascii="Times New Roman" w:hAnsi="Times New Roman" w:cs="Times New Roman"/>
          <w:sz w:val="24"/>
          <w:szCs w:val="24"/>
        </w:rPr>
        <w:t xml:space="preserve">В рамках предварительного контроля Контрольно-счетным органом подготовлены заключения к первому чтению на проекты решения Думы о районном бюджете и бюджетов сельских поселений на очередной финансовый год и плановый период. Проекты по форме и содержанию сформированы с учетом требований бюджетного законодательства, при этом в заключении на проекты бюджетов района и поселений отмечен ряд замечаний, в том числе носящих системный характер, которые необходимо устранить при доработке проекта. </w:t>
      </w:r>
    </w:p>
    <w:p w:rsidR="00AB4513" w:rsidRPr="00FE118F" w:rsidRDefault="00AB4513" w:rsidP="00AB4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0FE" w:rsidRDefault="00C310FE" w:rsidP="00AB45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18F">
        <w:rPr>
          <w:rFonts w:ascii="Times New Roman" w:hAnsi="Times New Roman" w:cs="Times New Roman"/>
          <w:b/>
          <w:sz w:val="24"/>
          <w:szCs w:val="24"/>
        </w:rPr>
        <w:t>Подготовка заключений на проект решения Думы «О бюджете муниципального образова</w:t>
      </w:r>
      <w:r>
        <w:rPr>
          <w:rFonts w:ascii="Times New Roman" w:hAnsi="Times New Roman" w:cs="Times New Roman"/>
          <w:b/>
          <w:sz w:val="24"/>
          <w:szCs w:val="24"/>
        </w:rPr>
        <w:t>ния «Парабельский район» на 2016</w:t>
      </w:r>
      <w:r w:rsidRPr="00FE118F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AB4513" w:rsidRPr="00FE118F" w:rsidRDefault="00AB4513" w:rsidP="00AB45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013" w:rsidRDefault="00C310FE" w:rsidP="00AB451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Проект бюджета и представленные одновременно с ним материалы </w:t>
      </w:r>
      <w:r w:rsidRPr="00FE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соответствуют </w:t>
      </w:r>
      <w:r w:rsidRPr="00FE1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требованиям Бюджетного кодекса</w:t>
      </w:r>
      <w:r w:rsidRPr="00FE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Общие требования к структуре и содержанию Проекта бюджета, установленные </w:t>
      </w:r>
      <w:r w:rsidRPr="00FE1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статьей 184.1</w:t>
      </w:r>
      <w:r w:rsidRPr="00FE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и статьями 15-17 Положения «О бюджетном процессе в муниципальном образовании «Парабельский район», разработчиками Проекта бюджета соблюдены.</w:t>
      </w:r>
      <w:r w:rsidR="00AB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бюджета имеет социальную направленность. </w:t>
      </w:r>
    </w:p>
    <w:p w:rsidR="00692013" w:rsidRDefault="00692013" w:rsidP="00AB451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013" w:rsidRDefault="00C310FE" w:rsidP="00AB451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на 2016</w:t>
      </w:r>
      <w:r w:rsidRPr="00FE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сформирован без дефицита. При этом низкий уровень бюджетной обеспеченности создает риски соблюдения данного параметра. </w:t>
      </w:r>
    </w:p>
    <w:p w:rsidR="00692013" w:rsidRDefault="00C310FE" w:rsidP="00AB451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18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Аналогичная ситуация наблюдал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ась при принятии бюджета на 2015</w:t>
      </w:r>
      <w:r w:rsidRPr="00FE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когда первоначально был утвержден бездефицитный бюджет,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Pr="00FE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работы за 2015 год </w:t>
      </w:r>
      <w:r w:rsidRPr="00FE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дефицита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</w:t>
      </w:r>
      <w:r w:rsidRPr="00FE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21892,5</w:t>
      </w:r>
      <w:r w:rsidRPr="00FE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C310FE" w:rsidRPr="00692013" w:rsidRDefault="00C310FE" w:rsidP="00AB451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проверки обоснованности расчетов доходов бюджета Контрольно-счетный орган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предложил</w:t>
      </w:r>
      <w:r w:rsidR="009A7F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</w:t>
      </w:r>
      <w:r w:rsidRPr="00E5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ходе работы согласительной комиссии рассмотреть вопрос об увеличении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доходов бюджета в том числе: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04F7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0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доходы физических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3000,0 тыс. руб.,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арендной плате</w:t>
      </w:r>
      <w:r w:rsidRPr="0050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</w:t>
      </w:r>
      <w:r w:rsidR="009A7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11835,5 тыс. руб., </w:t>
      </w:r>
      <w:r w:rsidR="009A7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увеличить доходы  на 14835,5 тыс.руб.</w:t>
      </w:r>
    </w:p>
    <w:p w:rsidR="00C310FE" w:rsidRPr="005836ED" w:rsidRDefault="00C310FE" w:rsidP="00C310FE">
      <w:pPr>
        <w:tabs>
          <w:tab w:val="num" w:pos="0"/>
          <w:tab w:val="left" w:pos="6285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</w:t>
      </w:r>
    </w:p>
    <w:p w:rsidR="00C310FE" w:rsidRDefault="00C310FE" w:rsidP="00AB45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18F">
        <w:rPr>
          <w:rFonts w:ascii="Times New Roman" w:hAnsi="Times New Roman" w:cs="Times New Roman"/>
          <w:b/>
          <w:sz w:val="24"/>
          <w:szCs w:val="24"/>
        </w:rPr>
        <w:t>Подготовка заключений на проекты решений Советов сельских поселений «О бюджете сельских поселен</w:t>
      </w:r>
      <w:r>
        <w:rPr>
          <w:rFonts w:ascii="Times New Roman" w:hAnsi="Times New Roman" w:cs="Times New Roman"/>
          <w:b/>
          <w:sz w:val="24"/>
          <w:szCs w:val="24"/>
        </w:rPr>
        <w:t>ий  Парабельского района на 2016</w:t>
      </w:r>
      <w:r w:rsidRPr="00FE118F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AB4513" w:rsidRPr="00FE118F" w:rsidRDefault="00AB4513" w:rsidP="00AB45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0FE" w:rsidRPr="00FE118F" w:rsidRDefault="00C310FE" w:rsidP="00AB4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8F">
        <w:rPr>
          <w:rFonts w:ascii="Times New Roman" w:hAnsi="Times New Roman" w:cs="Times New Roman"/>
          <w:sz w:val="24"/>
          <w:szCs w:val="24"/>
        </w:rPr>
        <w:t>В соответствии с Соглашениями о передаче полномочий по осуществлению внешнего муниципального финансовог</w:t>
      </w:r>
      <w:r>
        <w:rPr>
          <w:rFonts w:ascii="Times New Roman" w:hAnsi="Times New Roman" w:cs="Times New Roman"/>
          <w:sz w:val="24"/>
          <w:szCs w:val="24"/>
        </w:rPr>
        <w:t xml:space="preserve">о контроля, заключенного между </w:t>
      </w:r>
      <w:r w:rsidRPr="00FE118F">
        <w:rPr>
          <w:rFonts w:ascii="Times New Roman" w:hAnsi="Times New Roman" w:cs="Times New Roman"/>
          <w:sz w:val="24"/>
          <w:szCs w:val="24"/>
        </w:rPr>
        <w:t xml:space="preserve"> Советами сельских поселений Парабельского района и Думой Парабельского района, в рамках предварительного контроля Контрольно-счетным органом подготовлены заключения на проекты решений Советов сельских поселений на очередной финансовый год.</w:t>
      </w:r>
    </w:p>
    <w:p w:rsidR="00C310FE" w:rsidRPr="00FE118F" w:rsidRDefault="00C310FE" w:rsidP="00AB4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8F">
        <w:rPr>
          <w:rFonts w:ascii="Times New Roman" w:hAnsi="Times New Roman" w:cs="Times New Roman"/>
          <w:sz w:val="24"/>
          <w:szCs w:val="24"/>
        </w:rPr>
        <w:t>Проекты по форме и содержанию сформированы с учетом требований бюджетного законодательства, при этом в заключении на проекты бюджета района отмечен ряд замечаний:</w:t>
      </w:r>
    </w:p>
    <w:p w:rsidR="009A7F23" w:rsidRDefault="009A7F23" w:rsidP="00C310FE">
      <w:pPr>
        <w:pStyle w:val="a7"/>
        <w:numPr>
          <w:ilvl w:val="0"/>
          <w:numId w:val="4"/>
        </w:numPr>
        <w:jc w:val="both"/>
      </w:pPr>
      <w:r>
        <w:t>д</w:t>
      </w:r>
      <w:r w:rsidR="00C310FE" w:rsidRPr="00FE118F">
        <w:t>окументы и материалы, направляемые одновременно с проектом бюджета в соответствии</w:t>
      </w:r>
      <w:r w:rsidR="00C310FE">
        <w:t xml:space="preserve"> со</w:t>
      </w:r>
      <w:r w:rsidR="00C310FE" w:rsidRPr="00FE118F">
        <w:t xml:space="preserve"> ст. 184.2 БК РФ и  Положении о бюджетном процессе, утвержденном решением соответсвующего  сельского поселения, представлены в Ревизионну</w:t>
      </w:r>
      <w:r w:rsidR="00C310FE">
        <w:t>ю комиссию не в полном объеме всеми сельскими поселениями</w:t>
      </w:r>
      <w:r w:rsidR="00C310FE" w:rsidRPr="00FE118F">
        <w:t>;</w:t>
      </w:r>
    </w:p>
    <w:p w:rsidR="009A7F23" w:rsidRDefault="009A7F23" w:rsidP="00C310FE">
      <w:pPr>
        <w:pStyle w:val="a7"/>
        <w:numPr>
          <w:ilvl w:val="0"/>
          <w:numId w:val="4"/>
        </w:numPr>
        <w:jc w:val="both"/>
      </w:pPr>
      <w:r>
        <w:t>в</w:t>
      </w:r>
      <w:r w:rsidR="00C310FE" w:rsidRPr="00DD76D0">
        <w:t xml:space="preserve"> статье  5  проекта решения о бюджете на 2016 год Совета Нарымского сельского поселения неверно отражен объем межбюджетных трансфертов в размере 42129,0 тыс. руб.</w:t>
      </w:r>
      <w:r w:rsidR="00C310FE">
        <w:t xml:space="preserve"> вместо 44298,9 тыс. руб.</w:t>
      </w:r>
      <w:r w:rsidR="00C310FE" w:rsidRPr="00FE118F">
        <w:t>;</w:t>
      </w:r>
    </w:p>
    <w:p w:rsidR="009A7F23" w:rsidRDefault="009A7F23" w:rsidP="00C310FE">
      <w:pPr>
        <w:pStyle w:val="a7"/>
        <w:numPr>
          <w:ilvl w:val="0"/>
          <w:numId w:val="4"/>
        </w:numPr>
        <w:jc w:val="both"/>
      </w:pPr>
      <w:r>
        <w:t>в</w:t>
      </w:r>
      <w:r w:rsidR="00C310FE" w:rsidRPr="0058315C">
        <w:t xml:space="preserve"> приложении № 9 Проекта бюджета объем доходов бюджета не соответствует статье 1 п 1. (в статье 1 сумма доходов бюджета 8305,2 тыс. руб. в приложении 9 сумма 8355,2тыс. руб.</w:t>
      </w:r>
      <w:r>
        <w:t xml:space="preserve"> </w:t>
      </w:r>
    </w:p>
    <w:p w:rsidR="00C310FE" w:rsidRPr="009A7F23" w:rsidRDefault="009A7F23" w:rsidP="00C310FE">
      <w:pPr>
        <w:pStyle w:val="a7"/>
        <w:numPr>
          <w:ilvl w:val="0"/>
          <w:numId w:val="4"/>
        </w:numPr>
        <w:jc w:val="both"/>
      </w:pPr>
      <w:r>
        <w:t>в</w:t>
      </w:r>
      <w:r w:rsidR="00C310FE" w:rsidRPr="009A7F23">
        <w:t xml:space="preserve"> приложении № 8 объем межбюджетных трансфертов не соответствует объему межбюджетных трансфертов, предусмотренных районным бюджетом (Приложение № 16) на 2016 год. Районом предусмотрено 7651,5 тыс. руб., а в проекте бюджета Новосельцевского сельского поселения 7151,5 тыс. руб.</w:t>
      </w:r>
    </w:p>
    <w:p w:rsidR="00C310FE" w:rsidRPr="00691467" w:rsidRDefault="00C310FE" w:rsidP="00C310FE">
      <w:pPr>
        <w:pStyle w:val="a5"/>
        <w:numPr>
          <w:ilvl w:val="0"/>
          <w:numId w:val="4"/>
        </w:numPr>
        <w:spacing w:before="75" w:after="75"/>
        <w:jc w:val="both"/>
        <w:rPr>
          <w:rFonts w:ascii="Times New Roman" w:hAnsi="Times New Roman" w:cs="Times New Roman"/>
          <w:sz w:val="24"/>
          <w:szCs w:val="24"/>
        </w:rPr>
      </w:pPr>
      <w:r w:rsidRPr="00691467">
        <w:rPr>
          <w:rFonts w:ascii="Times New Roman" w:hAnsi="Times New Roman" w:cs="Times New Roman"/>
          <w:sz w:val="24"/>
          <w:szCs w:val="24"/>
        </w:rPr>
        <w:t>плановая сумма налога на имущество физических лиц в бюджете Парабельского сельского  поселения на 2016 год необоснованно завышена на 291,0 тыс. рублей;</w:t>
      </w:r>
    </w:p>
    <w:p w:rsidR="00C310FE" w:rsidRPr="00691467" w:rsidRDefault="00C310FE" w:rsidP="00C310FE">
      <w:pPr>
        <w:pStyle w:val="a5"/>
        <w:numPr>
          <w:ilvl w:val="0"/>
          <w:numId w:val="4"/>
        </w:numPr>
        <w:spacing w:before="75" w:after="75"/>
        <w:jc w:val="both"/>
        <w:rPr>
          <w:rFonts w:ascii="Times New Roman" w:hAnsi="Times New Roman" w:cs="Times New Roman"/>
          <w:sz w:val="24"/>
          <w:szCs w:val="24"/>
        </w:rPr>
      </w:pPr>
      <w:r w:rsidRPr="00691467">
        <w:rPr>
          <w:rFonts w:ascii="Times New Roman" w:hAnsi="Times New Roman" w:cs="Times New Roman"/>
          <w:sz w:val="24"/>
          <w:szCs w:val="24"/>
        </w:rPr>
        <w:t>размер невыполнения плана по НДФЛ в 2016 году может составить более 500,0 тыс. руб.</w:t>
      </w:r>
    </w:p>
    <w:p w:rsidR="00C310FE" w:rsidRPr="00691467" w:rsidRDefault="00C310FE" w:rsidP="00C310FE">
      <w:pPr>
        <w:pStyle w:val="a5"/>
        <w:numPr>
          <w:ilvl w:val="0"/>
          <w:numId w:val="4"/>
        </w:numPr>
        <w:spacing w:before="75" w:after="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91467">
        <w:rPr>
          <w:rFonts w:ascii="Times New Roman" w:hAnsi="Times New Roman" w:cs="Times New Roman"/>
          <w:sz w:val="24"/>
          <w:szCs w:val="24"/>
        </w:rPr>
        <w:t>сего бюджет</w:t>
      </w:r>
      <w:r>
        <w:rPr>
          <w:rFonts w:ascii="Times New Roman" w:hAnsi="Times New Roman" w:cs="Times New Roman"/>
          <w:sz w:val="24"/>
          <w:szCs w:val="24"/>
        </w:rPr>
        <w:t xml:space="preserve"> Парабельского сельского</w:t>
      </w:r>
      <w:r w:rsidRPr="00691467">
        <w:rPr>
          <w:rFonts w:ascii="Times New Roman" w:hAnsi="Times New Roman" w:cs="Times New Roman"/>
          <w:sz w:val="24"/>
          <w:szCs w:val="24"/>
        </w:rPr>
        <w:t xml:space="preserve"> поселения в 2016 году может недополучить по этим двум доходным источникам более 700,0 тыс. руб.</w:t>
      </w:r>
    </w:p>
    <w:p w:rsidR="00C310FE" w:rsidRDefault="009A7F23" w:rsidP="00C310FE">
      <w:pPr>
        <w:pStyle w:val="a7"/>
        <w:numPr>
          <w:ilvl w:val="0"/>
          <w:numId w:val="4"/>
        </w:numPr>
        <w:jc w:val="both"/>
      </w:pPr>
      <w:r>
        <w:t>в</w:t>
      </w:r>
      <w:r w:rsidR="00C310FE">
        <w:t xml:space="preserve"> приложении №3 Проекта бюджета Старицинского сельского поселения объем межбюджетных трансфертов не соответствует объему</w:t>
      </w:r>
      <w:r>
        <w:t>,</w:t>
      </w:r>
      <w:r w:rsidR="00C310FE">
        <w:t xml:space="preserve"> предусмотренному п.п.1. ст.1 Решения о бюджете (в статье 1 сумма безвозмездных поступлений </w:t>
      </w:r>
      <w:r w:rsidR="00637BBB">
        <w:t xml:space="preserve">- </w:t>
      </w:r>
      <w:r w:rsidR="00C310FE">
        <w:t>6970,5 тыс. руб.</w:t>
      </w:r>
      <w:r w:rsidR="00637BBB">
        <w:t xml:space="preserve">, </w:t>
      </w:r>
      <w:r w:rsidR="00C310FE">
        <w:t xml:space="preserve"> в приложении 3 </w:t>
      </w:r>
      <w:r w:rsidR="00637BBB">
        <w:t xml:space="preserve">- </w:t>
      </w:r>
      <w:r w:rsidR="00C310FE">
        <w:t>сумма 6920,5тыс. руб.</w:t>
      </w:r>
      <w:r w:rsidR="00637BBB">
        <w:t>)</w:t>
      </w:r>
    </w:p>
    <w:p w:rsidR="00C310FE" w:rsidRPr="00FE118F" w:rsidRDefault="009A7F23" w:rsidP="00C310FE">
      <w:pPr>
        <w:pStyle w:val="a7"/>
        <w:numPr>
          <w:ilvl w:val="0"/>
          <w:numId w:val="4"/>
        </w:numPr>
        <w:jc w:val="both"/>
      </w:pPr>
      <w:r>
        <w:t>в</w:t>
      </w:r>
      <w:r w:rsidR="00C310FE">
        <w:t xml:space="preserve"> пояснительной записке к Проекту бюджета Старицинского сельского поселения в разделе «Расчеты по основным доходным источникам» п.1</w:t>
      </w:r>
      <w:r w:rsidR="00637BBB">
        <w:t xml:space="preserve"> </w:t>
      </w:r>
      <w:r w:rsidR="00C310FE">
        <w:t xml:space="preserve"> НДФЛ на 2016 год указан неверно (в размере 606,6 тыс. руб.), в п. 6 этого же раздела акцизы на нефтепродукты на 2016 год показаны в размере 19,0 тыс. руб., что также  не соответствует показателям Проекта бюджета</w:t>
      </w:r>
      <w:r w:rsidR="00C310FE" w:rsidRPr="00FE118F">
        <w:t xml:space="preserve">  </w:t>
      </w:r>
    </w:p>
    <w:p w:rsidR="00C310FE" w:rsidRPr="00FE118F" w:rsidRDefault="00C310FE" w:rsidP="00C310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8F">
        <w:rPr>
          <w:rFonts w:ascii="Times New Roman" w:hAnsi="Times New Roman" w:cs="Times New Roman"/>
          <w:b/>
          <w:sz w:val="24"/>
          <w:szCs w:val="24"/>
        </w:rPr>
        <w:t>3.2. Последующий контроль</w:t>
      </w:r>
    </w:p>
    <w:p w:rsidR="00C310FE" w:rsidRDefault="00C310FE" w:rsidP="00AB4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8F">
        <w:rPr>
          <w:rFonts w:ascii="Times New Roman" w:hAnsi="Times New Roman" w:cs="Times New Roman"/>
          <w:sz w:val="24"/>
          <w:szCs w:val="24"/>
        </w:rPr>
        <w:t>В рамках последующего контроля подготовлены заключения на проекты отчетов Администрации Парабельского района и администраций сельских поселений об исполнении районного бюджета и бюджетов сельских поселений.  В большинстве заключений отражены нарушения и недостатки, устранение которых предложено по итогам проведения экспертиз.</w:t>
      </w:r>
    </w:p>
    <w:p w:rsidR="00AB4513" w:rsidRPr="00FE118F" w:rsidRDefault="00AB4513" w:rsidP="00AB4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0FE" w:rsidRDefault="00C310FE" w:rsidP="00AB4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8F">
        <w:rPr>
          <w:rFonts w:ascii="Times New Roman" w:hAnsi="Times New Roman" w:cs="Times New Roman"/>
          <w:b/>
          <w:sz w:val="24"/>
          <w:szCs w:val="24"/>
        </w:rPr>
        <w:t>Заключение о результатах внешней проверки отчета Администрации Парабельского района об исполнении районного бюдже</w:t>
      </w:r>
      <w:r>
        <w:rPr>
          <w:rFonts w:ascii="Times New Roman" w:hAnsi="Times New Roman" w:cs="Times New Roman"/>
          <w:b/>
          <w:sz w:val="24"/>
          <w:szCs w:val="24"/>
        </w:rPr>
        <w:t>та за 2014</w:t>
      </w:r>
      <w:r w:rsidRPr="00FE118F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FE11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513" w:rsidRPr="00FE118F" w:rsidRDefault="00AB4513" w:rsidP="00AB4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0FE" w:rsidRPr="00F0409E" w:rsidRDefault="00C310FE" w:rsidP="000C77B3">
      <w:pPr>
        <w:shd w:val="clear" w:color="auto" w:fill="FFFFFF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E118F">
        <w:rPr>
          <w:rFonts w:ascii="Times New Roman" w:hAnsi="Times New Roman" w:cs="Times New Roman"/>
          <w:sz w:val="24"/>
          <w:szCs w:val="24"/>
        </w:rPr>
        <w:t xml:space="preserve">Контрольно-счетный орган, основываясь на результатах внешней проверки Отчета об исполнении районного бюджета </w:t>
      </w:r>
      <w:r>
        <w:rPr>
          <w:rFonts w:ascii="Times New Roman" w:hAnsi="Times New Roman" w:cs="Times New Roman"/>
          <w:sz w:val="24"/>
          <w:szCs w:val="24"/>
        </w:rPr>
        <w:t>за 2014</w:t>
      </w:r>
      <w:r w:rsidRPr="00FE118F">
        <w:rPr>
          <w:rFonts w:ascii="Times New Roman" w:hAnsi="Times New Roman" w:cs="Times New Roman"/>
          <w:sz w:val="24"/>
          <w:szCs w:val="24"/>
        </w:rPr>
        <w:t xml:space="preserve"> год, подтвердил  достоверность данных, представленных в проекте бюджета района «Об исполнении бюджета Парабельс</w:t>
      </w:r>
      <w:r>
        <w:rPr>
          <w:rFonts w:ascii="Times New Roman" w:hAnsi="Times New Roman" w:cs="Times New Roman"/>
          <w:sz w:val="24"/>
          <w:szCs w:val="24"/>
        </w:rPr>
        <w:t>кого района за 2014</w:t>
      </w:r>
      <w:r w:rsidRPr="00FE118F">
        <w:rPr>
          <w:rFonts w:ascii="Times New Roman" w:hAnsi="Times New Roman" w:cs="Times New Roman"/>
          <w:sz w:val="24"/>
          <w:szCs w:val="24"/>
        </w:rPr>
        <w:t xml:space="preserve"> год».  </w:t>
      </w:r>
      <w:r w:rsidRPr="00F040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</w:t>
      </w:r>
      <w:r w:rsidRPr="00F04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общий объем поступления доходов в бюджет района составил 620164,3   тыс. руб., или 98,0  % к плановой сумме 2014 года. Темп поступления доходов к уровню 2013 года составил 89,4 % , в том числе:</w:t>
      </w:r>
    </w:p>
    <w:p w:rsidR="00C310FE" w:rsidRPr="00F0409E" w:rsidRDefault="00C310FE" w:rsidP="00C310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9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3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40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налоговым доходам  92,7% поступлений к уровню 2013 года;</w:t>
      </w:r>
    </w:p>
    <w:p w:rsidR="00C310FE" w:rsidRPr="00F0409E" w:rsidRDefault="00C310FE" w:rsidP="00C310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9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3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40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неналоговым доходам 72,6% к 2013 году;</w:t>
      </w:r>
    </w:p>
    <w:p w:rsidR="00C310FE" w:rsidRDefault="00C310FE" w:rsidP="00C310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0409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3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40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безвозмездным поступлениям 94,1% к 2013 году</w:t>
      </w:r>
      <w:r w:rsidRPr="00F0409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637BBB" w:rsidRPr="00F0409E" w:rsidRDefault="00637BBB" w:rsidP="00C310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310FE" w:rsidRDefault="00C310FE" w:rsidP="00AB4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8F">
        <w:rPr>
          <w:rFonts w:ascii="Times New Roman" w:hAnsi="Times New Roman" w:cs="Times New Roman"/>
          <w:b/>
          <w:sz w:val="24"/>
          <w:szCs w:val="24"/>
        </w:rPr>
        <w:t>Заключение о результатах внешней проверки отчетов Администраций сельских поселений Парабельского района об испо</w:t>
      </w:r>
      <w:r>
        <w:rPr>
          <w:rFonts w:ascii="Times New Roman" w:hAnsi="Times New Roman" w:cs="Times New Roman"/>
          <w:b/>
          <w:sz w:val="24"/>
          <w:szCs w:val="24"/>
        </w:rPr>
        <w:t>лнении бюджета поселений за 2014</w:t>
      </w:r>
      <w:r w:rsidRPr="00FE118F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FE11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513" w:rsidRPr="00FE118F" w:rsidRDefault="00AB4513" w:rsidP="00AB4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0FE" w:rsidRDefault="00C310FE" w:rsidP="00C31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и материалы, представленные вместе с проектом бюджета, не полностью  соответствуют  перечню, установленному Положением о бюджетном процессе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Pr="00FE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сельских поселениях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10FE" w:rsidRPr="00FE118F" w:rsidRDefault="00C310FE" w:rsidP="00C31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8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C310FE" w:rsidRDefault="00C310FE" w:rsidP="00C31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Предложено  привести  в соответствие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310FE" w:rsidRPr="00FE4612" w:rsidRDefault="00C310FE" w:rsidP="00C310FE">
      <w:pPr>
        <w:shd w:val="clear" w:color="auto" w:fill="FFFFFF"/>
        <w:spacing w:before="100" w:beforeAutospacing="1" w:after="100" w:afterAutospacing="1" w:line="240" w:lineRule="auto"/>
        <w:ind w:lef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</w:t>
      </w:r>
      <w:r w:rsidRPr="00FE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частичное </w:t>
      </w:r>
      <w:r w:rsidRPr="00FE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завышение плановых цифр налоговых и неналоговых доходов при принятии и уточнении бюджета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Нарымского и Старицинского сельских  поселений</w:t>
      </w:r>
      <w:r w:rsidRPr="00FE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E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год;</w:t>
      </w:r>
    </w:p>
    <w:p w:rsidR="00C310FE" w:rsidRPr="00FE4612" w:rsidRDefault="00C310FE" w:rsidP="00C310FE">
      <w:pPr>
        <w:shd w:val="clear" w:color="auto" w:fill="FFFFFF"/>
        <w:spacing w:before="100" w:beforeAutospacing="1" w:after="100" w:afterAutospacing="1" w:line="240" w:lineRule="auto"/>
        <w:ind w:lef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низкое исполнение расходов бюджета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Нарымского сельского поселения</w:t>
      </w:r>
      <w:r w:rsidRPr="00FE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уточненным плановым показателям</w:t>
      </w:r>
      <w:r w:rsidRPr="00FE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подраздел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ам: 04 09</w:t>
      </w:r>
      <w:r w:rsidRPr="00FE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Дорожное хозяйство</w:t>
      </w:r>
      <w:r w:rsidRPr="00FE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17,5</w:t>
      </w:r>
      <w:r w:rsidRPr="00FE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10 04 «Охрана семьи и детства» - 0%.</w:t>
      </w:r>
    </w:p>
    <w:p w:rsidR="00C310FE" w:rsidRPr="00FE4612" w:rsidRDefault="00C310FE" w:rsidP="00C310FE">
      <w:pPr>
        <w:shd w:val="clear" w:color="auto" w:fill="FFFFFF"/>
        <w:spacing w:before="100" w:beforeAutospacing="1" w:after="100" w:afterAutospacing="1" w:line="240" w:lineRule="auto"/>
        <w:ind w:lef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низкое исполнение расходов бюджета по подразделу 05 03 «Благоустройство» - 58,4%.</w:t>
      </w:r>
    </w:p>
    <w:p w:rsidR="00C310FE" w:rsidRDefault="00C310FE" w:rsidP="00C310FE">
      <w:pPr>
        <w:shd w:val="clear" w:color="auto" w:fill="FFFFFF"/>
        <w:spacing w:before="100" w:beforeAutospacing="1" w:after="100" w:afterAutospacing="1" w:line="240" w:lineRule="auto"/>
        <w:ind w:lef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Pr="00FE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п. 5 статьи 264.2 Бюджетного кодекса РФ годовые отчеты об исполнении местных бюджетов подлежат утверждению муниципальным правовым актом представительного органа муниципального образования. Представленный в Ревизионную комиссию Отчет по исполнению бюджета является приложени</w:t>
      </w:r>
      <w:r w:rsidR="00637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к </w:t>
      </w:r>
      <w:r w:rsidRPr="00FE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E46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Постановлению </w:t>
      </w:r>
      <w:r w:rsidR="00637B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FE46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Старицинского</w:t>
      </w:r>
      <w:r w:rsidRPr="00FE46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сельского поселения</w:t>
      </w:r>
      <w:r w:rsidRPr="00FE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противоречит п. 5 статьи 264.2 Бюджетного кодекса РФ.</w:t>
      </w:r>
    </w:p>
    <w:p w:rsidR="00C310FE" w:rsidRPr="00DF077F" w:rsidRDefault="00C310FE" w:rsidP="00C310FE">
      <w:pPr>
        <w:shd w:val="clear" w:color="auto" w:fill="FFFFFF"/>
        <w:suppressAutoHyphens/>
        <w:spacing w:before="100" w:beforeAutospacing="1" w:after="100" w:afterAutospacing="1" w:line="240" w:lineRule="auto"/>
        <w:ind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Контрольно-счетный орган</w:t>
      </w:r>
      <w:r w:rsidR="00637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37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Ревизионная комиссия муниципального образования «Парабельский район» 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подтвердил</w:t>
      </w:r>
      <w:r w:rsidRPr="00DF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достоверность Отчета Администрации Заводского сельского поселения об исполнении бюджета Заводского сельского поселения за 2014</w:t>
      </w:r>
      <w:r w:rsidR="00637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г, представленного в Ревизионную комиссию в форме проекта </w:t>
      </w:r>
      <w:r w:rsidRPr="00DF07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решения Совета Заводского сельского</w:t>
      </w:r>
      <w:r w:rsidRPr="00DF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поселения.</w:t>
      </w:r>
    </w:p>
    <w:p w:rsidR="00C310FE" w:rsidRPr="00DF077F" w:rsidRDefault="00C310FE" w:rsidP="00C310FE">
      <w:pPr>
        <w:shd w:val="clear" w:color="auto" w:fill="FFFFFF"/>
        <w:suppressAutoHyphens/>
        <w:spacing w:before="100" w:beforeAutospacing="1" w:after="100" w:afterAutospacing="1" w:line="240" w:lineRule="auto"/>
        <w:ind w:lef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отчета по исполнению бюджета Заводского сельского поселения показал:</w:t>
      </w:r>
    </w:p>
    <w:p w:rsidR="00C310FE" w:rsidRPr="00DF077F" w:rsidRDefault="00C310FE" w:rsidP="00C310FE">
      <w:pPr>
        <w:shd w:val="clear" w:color="auto" w:fill="FFFFFF"/>
        <w:suppressAutoHyphens/>
        <w:spacing w:before="100" w:beforeAutospacing="1" w:after="100" w:afterAutospacing="1" w:line="240" w:lineRule="auto"/>
        <w:ind w:lef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представленном проекте решения Совета Заводского сельского поселения «Об утверждении отчета об исполнении бюджета Заводского сельского поселения за 2014 год» суммы </w:t>
      </w:r>
      <w:r w:rsidRPr="00DF07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доходов, расходов и дефицита</w:t>
      </w:r>
      <w:r w:rsidRPr="00DF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бюджета поселения за 2014 год не соответствуют фактически сложившимся;</w:t>
      </w:r>
    </w:p>
    <w:p w:rsidR="00C310FE" w:rsidRPr="00DF077F" w:rsidRDefault="00C310FE" w:rsidP="00C310FE">
      <w:pPr>
        <w:shd w:val="clear" w:color="auto" w:fill="FFFFFF"/>
        <w:suppressAutoHyphens/>
        <w:spacing w:before="100" w:beforeAutospacing="1" w:after="100" w:afterAutospacing="1" w:line="240" w:lineRule="auto"/>
        <w:ind w:lef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коды бюджетной классификации в приложении № 1 к проекту решения не соответствуют утвержденным Приказом Минфина РФ от 01.07.2013г № 65н «Об утверждении указаний о порядке применения бюджетной классификации РФ» КБК;</w:t>
      </w:r>
    </w:p>
    <w:p w:rsidR="00C310FE" w:rsidRPr="00DF077F" w:rsidRDefault="00C310FE" w:rsidP="00C310FE">
      <w:pPr>
        <w:shd w:val="clear" w:color="auto" w:fill="FFFFFF"/>
        <w:suppressAutoHyphens/>
        <w:spacing w:before="100" w:beforeAutospacing="1" w:after="100" w:afterAutospacing="1" w:line="240" w:lineRule="auto"/>
        <w:ind w:lef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пояснительной записке к отчету об исполнении бюджета Заводского сельского поселения за 2014 год неверно отражена сумма расходов по разделу 0400 «Национальная экономика»;</w:t>
      </w:r>
    </w:p>
    <w:p w:rsidR="00C310FE" w:rsidRPr="00DF077F" w:rsidRDefault="00C310FE" w:rsidP="00C310FE">
      <w:pPr>
        <w:shd w:val="clear" w:color="auto" w:fill="FFFFFF"/>
        <w:suppressAutoHyphens/>
        <w:spacing w:before="100" w:beforeAutospacing="1" w:after="100" w:afterAutospacing="1" w:line="240" w:lineRule="auto"/>
        <w:ind w:lef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приложениях № 1,2 к проекту решения об исполнении бюджета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Заводского сельского поселения</w:t>
      </w:r>
      <w:r w:rsidRPr="00DF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неверно отражены плановые суммы доходов и расходов бюджета поселения на 2014 год.</w:t>
      </w:r>
    </w:p>
    <w:p w:rsidR="00C310FE" w:rsidRPr="00936CE7" w:rsidRDefault="00C310FE" w:rsidP="00C310FE">
      <w:pPr>
        <w:shd w:val="clear" w:color="auto" w:fill="FFFFFF"/>
        <w:suppressAutoHyphens/>
        <w:spacing w:before="100" w:beforeAutospacing="1" w:after="100" w:afterAutospacing="1" w:line="240" w:lineRule="auto"/>
        <w:ind w:lef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3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 отчета по исполнению бюджета Новосельцевского сельского поселения показал:</w:t>
      </w:r>
    </w:p>
    <w:p w:rsidR="00C310FE" w:rsidRPr="00936CE7" w:rsidRDefault="00C310FE" w:rsidP="00C310FE">
      <w:pPr>
        <w:shd w:val="clear" w:color="auto" w:fill="FFFFFF"/>
        <w:suppressAutoHyphens/>
        <w:spacing w:before="100" w:beforeAutospacing="1" w:after="100" w:afterAutospacing="1" w:line="240" w:lineRule="auto"/>
        <w:ind w:lef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коды бюджетной классификации в приложении № 1 к проекту решения Совета Новосельцевского сельского поселения «Об утверждении отчета об исполнении бюджета Новосельцевского сельского поселения за 2014 год» не соответствуют утвержденным Приказом Минфина РФ от 01.07.2013г № 65н «Об утверждении указаний о порядке применения бюджетной классификации РФ» КБК;</w:t>
      </w:r>
    </w:p>
    <w:p w:rsidR="00C310FE" w:rsidRPr="00936CE7" w:rsidRDefault="00C310FE" w:rsidP="00C310FE">
      <w:pPr>
        <w:shd w:val="clear" w:color="auto" w:fill="FFFFFF"/>
        <w:suppressAutoHyphens/>
        <w:spacing w:before="100" w:beforeAutospacing="1" w:after="100" w:afterAutospacing="1" w:line="240" w:lineRule="auto"/>
        <w:ind w:lef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проекте решения об исполнении бюджета указанная сумма дефицита бюджета 264,0 тыс. рублей не соответствует фактически  сложившейся 316,6 тыс. рублей.</w:t>
      </w:r>
    </w:p>
    <w:p w:rsidR="00C310FE" w:rsidRPr="00936CE7" w:rsidRDefault="00C310FE" w:rsidP="00C310FE">
      <w:pPr>
        <w:shd w:val="clear" w:color="auto" w:fill="FFFFFF"/>
        <w:spacing w:before="100" w:beforeAutospacing="1" w:after="100" w:afterAutospacing="1"/>
        <w:ind w:lef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B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3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коды бюджетной классификации в приложении № 1 к проекту решения Совета Новосельцевского сельского поселения «Об утверждении отчета об исполнении бюджета Новосельцевского сельского поселения за 2014 год» не соответствуют утвержденным Приказом Минфина РФ от 01.07.2013г № 65н «Об утверждении указаний о порядке применения бюджетной классификации РФ» КБК;</w:t>
      </w:r>
    </w:p>
    <w:p w:rsidR="00C310FE" w:rsidRPr="00FE118F" w:rsidRDefault="00C310FE" w:rsidP="00C31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проекте решения об исполнении бюджета указанная сумма дефицита бюджета 264,0 тыс. рублей не соответствует фактически  сложившейся 316,6 тыс. рублей</w:t>
      </w:r>
      <w:r w:rsidRPr="00307B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C310FE" w:rsidRPr="00443F8D" w:rsidRDefault="00C310FE" w:rsidP="00C310FE">
      <w:pPr>
        <w:shd w:val="clear" w:color="auto" w:fill="FFFFFF"/>
        <w:spacing w:before="100" w:beforeAutospacing="1" w:after="100" w:afterAutospacing="1"/>
        <w:ind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3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Контрольно-счетным</w:t>
      </w:r>
      <w:r w:rsidRPr="00443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443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Ревизионн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комиссией</w:t>
      </w:r>
      <w:r w:rsidRPr="00443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подтверждена</w:t>
      </w:r>
      <w:r w:rsidRPr="00443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достоверность Отчета Администрации Парабельского сельского поселения об исполнении бюджета Парабельского сельского поселения за 2014</w:t>
      </w:r>
      <w:r w:rsidR="00637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3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г, представленного в Ревизионную комиссию, в части поступления доходов.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3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43F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редставленная в проекте решения Совета Парабельского сельского поселения Парабельского района Томской области сумма </w:t>
      </w:r>
      <w:r w:rsidRPr="00443F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доходов</w:t>
      </w:r>
      <w:r w:rsidRPr="00443F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бюджета поселения в размере </w:t>
      </w:r>
      <w:r w:rsidRPr="00443F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49684,4</w:t>
      </w:r>
      <w:r w:rsidRPr="00443F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 не соответствует фактической сумме поступления доходов в бюджет Парабельского сельского поселения в 2014 году  (</w:t>
      </w:r>
      <w:r w:rsidRPr="00443F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49743,5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 рублей) с расхождением в 59,1 тыс. руб.</w:t>
      </w:r>
    </w:p>
    <w:p w:rsidR="00C310FE" w:rsidRPr="00FE118F" w:rsidRDefault="00C310FE" w:rsidP="00091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8F">
        <w:rPr>
          <w:rFonts w:ascii="Times New Roman" w:hAnsi="Times New Roman" w:cs="Times New Roman"/>
          <w:b/>
          <w:sz w:val="24"/>
          <w:szCs w:val="24"/>
        </w:rPr>
        <w:t>4. Результаты контрольной деятельности Контрольно-счетного органа в форме последующего контроля исполнения бюджета муниципального образования «Парабельский район»</w:t>
      </w:r>
    </w:p>
    <w:p w:rsidR="00C310FE" w:rsidRDefault="00C310FE" w:rsidP="00091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</w:t>
      </w:r>
      <w:r w:rsidRPr="00FE118F">
        <w:rPr>
          <w:rFonts w:ascii="Times New Roman" w:hAnsi="Times New Roman" w:cs="Times New Roman"/>
          <w:sz w:val="24"/>
          <w:szCs w:val="24"/>
        </w:rPr>
        <w:t xml:space="preserve"> году при осуществлении внешнего государственного финансового контроля проведены контрольные мероприятия, результаты которых отражены в соответствующих отчетах Контрольно-счетного органа.</w:t>
      </w:r>
    </w:p>
    <w:p w:rsidR="00091788" w:rsidRPr="00FE118F" w:rsidRDefault="00091788" w:rsidP="00091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0FE" w:rsidRPr="00091788" w:rsidRDefault="00C310FE" w:rsidP="0009178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788">
        <w:rPr>
          <w:rFonts w:ascii="Times New Roman" w:hAnsi="Times New Roman" w:cs="Times New Roman"/>
          <w:b/>
          <w:sz w:val="24"/>
          <w:szCs w:val="24"/>
        </w:rPr>
        <w:t>Контроль исполнения районного бюджета</w:t>
      </w:r>
    </w:p>
    <w:p w:rsidR="00C310FE" w:rsidRDefault="00C310FE" w:rsidP="00091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8F">
        <w:rPr>
          <w:rFonts w:ascii="Times New Roman" w:hAnsi="Times New Roman" w:cs="Times New Roman"/>
          <w:sz w:val="24"/>
          <w:szCs w:val="24"/>
        </w:rPr>
        <w:t>В рамках полномочий Контрольно-счетного органа  по организации и осуществлению контроля за  законностью, результативностью (эффективностью и экономностью) использования средств  районного  бюджета в соответствии с планом работы проведен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FE118F">
        <w:rPr>
          <w:rFonts w:ascii="Times New Roman" w:hAnsi="Times New Roman" w:cs="Times New Roman"/>
          <w:sz w:val="24"/>
          <w:szCs w:val="24"/>
        </w:rPr>
        <w:t>контрольны</w:t>
      </w:r>
      <w:r w:rsidR="00637BBB">
        <w:rPr>
          <w:rFonts w:ascii="Times New Roman" w:hAnsi="Times New Roman" w:cs="Times New Roman"/>
          <w:sz w:val="24"/>
          <w:szCs w:val="24"/>
        </w:rPr>
        <w:t>е мероприятия</w:t>
      </w:r>
      <w:r w:rsidRPr="00FE118F">
        <w:rPr>
          <w:rFonts w:ascii="Times New Roman" w:hAnsi="Times New Roman" w:cs="Times New Roman"/>
          <w:sz w:val="24"/>
          <w:szCs w:val="24"/>
        </w:rPr>
        <w:t>. При проведении контрольных мероприятий, результаты которых отражены в данном разделе, внимание Контрольно-счетного органа было акцентировано на соотве</w:t>
      </w:r>
      <w:r w:rsidR="00637BBB">
        <w:rPr>
          <w:rFonts w:ascii="Times New Roman" w:hAnsi="Times New Roman" w:cs="Times New Roman"/>
          <w:sz w:val="24"/>
          <w:szCs w:val="24"/>
        </w:rPr>
        <w:t>т</w:t>
      </w:r>
      <w:r w:rsidRPr="00FE118F">
        <w:rPr>
          <w:rFonts w:ascii="Times New Roman" w:hAnsi="Times New Roman" w:cs="Times New Roman"/>
          <w:sz w:val="24"/>
          <w:szCs w:val="24"/>
        </w:rPr>
        <w:t xml:space="preserve">ствии использования бюджетных средств. </w:t>
      </w:r>
    </w:p>
    <w:p w:rsidR="00AB4513" w:rsidRPr="00FE118F" w:rsidRDefault="00AB4513" w:rsidP="00091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0FE" w:rsidRDefault="00C310FE" w:rsidP="00C310FE">
      <w:pPr>
        <w:spacing w:after="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2DA">
        <w:rPr>
          <w:rFonts w:ascii="Times New Roman" w:hAnsi="Times New Roman" w:cs="Times New Roman"/>
          <w:b/>
          <w:sz w:val="24"/>
          <w:szCs w:val="24"/>
        </w:rPr>
        <w:t>Проведены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18F">
        <w:rPr>
          <w:rFonts w:ascii="Times New Roman" w:hAnsi="Times New Roman" w:cs="Times New Roman"/>
          <w:sz w:val="24"/>
          <w:szCs w:val="24"/>
        </w:rPr>
        <w:t xml:space="preserve"> </w:t>
      </w:r>
      <w:r w:rsidR="000C77B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онтрольные</w:t>
      </w:r>
      <w:r w:rsidRPr="00FE118F">
        <w:rPr>
          <w:rFonts w:ascii="Times New Roman" w:hAnsi="Times New Roman" w:cs="Times New Roman"/>
          <w:b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b/>
          <w:sz w:val="24"/>
          <w:szCs w:val="24"/>
        </w:rPr>
        <w:t>я:</w:t>
      </w:r>
    </w:p>
    <w:p w:rsidR="00C310FE" w:rsidRPr="00637BBB" w:rsidRDefault="00C310FE" w:rsidP="00C310FE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7BBB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Целевого и эффективного использования бюджетных средств, выделенных  в 2014 году на реализацию муниципальной программы «Устойчивое развитие Парабельского района Томской области на 2014-2017гг и на период до 2020 года»</w:t>
      </w:r>
      <w:r w:rsidR="00637BBB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Pr="00637B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310FE" w:rsidRPr="00637BBB" w:rsidRDefault="00C310FE" w:rsidP="00C310FE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7BBB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Целевого и эффективного использования бюджетных средств, выделенных  в 2014 году на реализацию ведомственной целевой программы «Дошкольник» на 2014-2016 годы»</w:t>
      </w:r>
      <w:r w:rsidR="00637BBB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Pr="00637B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310FE" w:rsidRPr="00637BBB" w:rsidRDefault="00C310FE" w:rsidP="00C310FE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7BBB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Целевого и эффективного использования бюджетных средств, выделенных  в 2014 году на реализацию муниципальной программы «Обеспечение жильем молодых семей на территории Парабельского района» на 2011-2015годы</w:t>
      </w:r>
      <w:r w:rsidR="00637BBB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Pr="00637B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310FE" w:rsidRDefault="00C310FE" w:rsidP="00C310FE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7B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Целевого и эффективного использования бюджетных средств, выделенных  в  2014 году на реализацию муниципальной программы «Развитие физической культуры, спорта и формирования здорового образа жизни населения Парабельского района на 2011-2015годы». </w:t>
      </w:r>
    </w:p>
    <w:p w:rsidR="00AB4513" w:rsidRPr="00637BBB" w:rsidRDefault="00AB4513" w:rsidP="00C310FE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10FE" w:rsidRPr="00FE118F" w:rsidRDefault="00C310FE" w:rsidP="00C310FE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контрольных мероприятий.</w:t>
      </w:r>
    </w:p>
    <w:p w:rsidR="00C310FE" w:rsidRPr="00FE118F" w:rsidRDefault="00C310FE" w:rsidP="00C310FE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проводится оценка эффективности реализации Программ.</w:t>
      </w:r>
      <w:r w:rsidRPr="00FE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310FE" w:rsidRDefault="00C310FE" w:rsidP="00C310FE">
      <w:pPr>
        <w:spacing w:after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Программы</w:t>
      </w:r>
      <w:r w:rsidRPr="00FE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срока ее реализации  вносятся с нарушением утвержденного Порядка разработки, утверждения и реализации долгоср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очных районных целевых программ</w:t>
      </w:r>
      <w:r w:rsidRPr="00A763E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C310FE" w:rsidRPr="00B6705D" w:rsidRDefault="00C310FE" w:rsidP="00C310FE">
      <w:pPr>
        <w:spacing w:after="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B670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Решением Думы Парабельского района № 55 от 24.12.2013г «О бюджете Парабельского муниципального района на 2014 год» предусмотренная  в бюджете сумма финансирования по Программе </w:t>
      </w:r>
      <w:r w:rsidRPr="00B67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B6705D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Устойчивое развитие  Парабельского  района Томской области на 2014-2017 годы и на период до 2020 года» составляет 1608,0 тыс. рублей, что на 3227,7 тыс. рублей меньше предусмотренного  Программой финансирования.</w:t>
      </w:r>
    </w:p>
    <w:p w:rsidR="00C310FE" w:rsidRDefault="00C310FE" w:rsidP="00C310FE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705D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Решением Думы Парабельского района № 37 от 30.10.2014г «О внесении изменений в бюджет Парабельского муниципального района на 2014 год» внесены изменения в части финансирования Программы. Предусмотренная сумма на реализацию программных мероприятий составила 3235,7 тыс. рублей, что также не соответствует сумме финансирования, предусмотренно</w:t>
      </w:r>
      <w:r w:rsidR="00637BBB">
        <w:rPr>
          <w:rFonts w:ascii="Times New Roman" w:eastAsia="Times New Roman" w:hAnsi="Times New Roman" w:cs="Times New Roman"/>
          <w:sz w:val="24"/>
          <w:szCs w:val="24"/>
          <w:lang w:eastAsia="ar-SA"/>
        </w:rPr>
        <w:t>й</w:t>
      </w:r>
      <w:r w:rsidRPr="00B670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Программой (4835,7 тыс. рублей). </w:t>
      </w:r>
    </w:p>
    <w:p w:rsidR="00C310FE" w:rsidRPr="00D33641" w:rsidRDefault="00C310FE" w:rsidP="00C310FE">
      <w:pPr>
        <w:spacing w:after="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Pr="00D33641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Решением Думы Парабельского района № 55 от 24.12.2013</w:t>
      </w:r>
      <w:r w:rsidR="00637B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33641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="00637BB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336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 бюджете Парабельского муниципального района на 2014 год» предусмотренная  в бюджете сумма финансирования по Программе </w:t>
      </w:r>
      <w:r w:rsidRPr="00D33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D33641">
        <w:rPr>
          <w:rFonts w:ascii="Times New Roman" w:eastAsia="Times New Roman" w:hAnsi="Times New Roman" w:cs="Times New Roman"/>
          <w:sz w:val="24"/>
          <w:szCs w:val="24"/>
          <w:lang w:eastAsia="ar-SA"/>
        </w:rPr>
        <w:t>Дошкольник» составляет 1946,0 тыс. рублей, что на 3068,7 тыс. рублей меньше предусмотренного  Программой финансирования (5014,7 тыс. руб.)</w:t>
      </w:r>
    </w:p>
    <w:p w:rsidR="00C310FE" w:rsidRPr="00D33641" w:rsidRDefault="00C310FE" w:rsidP="00C310FE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641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Решением Думы Парабельского района № 17 от 24.04.2014</w:t>
      </w:r>
      <w:r w:rsidR="00637B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33641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="00637BB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336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 внесении изменений в бюджет Парабельского муниципального района на 2014 год» сумма финансирования по программе не изменилась.</w:t>
      </w:r>
    </w:p>
    <w:p w:rsidR="00C310FE" w:rsidRPr="00D33641" w:rsidRDefault="00C310FE" w:rsidP="00C310FE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641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Решением Думы Парабельского района № 37 от 30.10.2014 г</w:t>
      </w:r>
      <w:r w:rsidR="00637BB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336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увеличено финансирование до 2107,0 тыс. руб., что соответствует внесенной в Программу сумме 2107 тыс. руб., утвержденной Постановлением администрации Парабельского района № 566а  от 10.06.2014</w:t>
      </w:r>
      <w:r w:rsidR="00637B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г.,</w:t>
      </w:r>
      <w:r w:rsidRPr="00D33641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D336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то есть за период с декабря 2013 по июнь 2014 года изменения в Программу не производились, что является нарушением  Федерального </w:t>
      </w:r>
      <w:hyperlink r:id="rId10" w:history="1">
        <w:r w:rsidRPr="00D33641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закон</w:t>
        </w:r>
      </w:hyperlink>
      <w:r w:rsidRPr="00D33641">
        <w:rPr>
          <w:rFonts w:ascii="Times New Roman" w:eastAsia="Times New Roman" w:hAnsi="Times New Roman" w:cs="Times New Roman"/>
          <w:sz w:val="24"/>
          <w:szCs w:val="24"/>
          <w:lang w:eastAsia="ar-SA"/>
        </w:rPr>
        <w:t>а от 03.02.2014 N 1-ФЗ</w:t>
      </w:r>
      <w:r w:rsidR="00637BB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D336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которым в 2014 году государственные (муниципальные) программы подлежат приведению в соответствие с законом (решением) о бюджете до 1 мая 2014 года. </w:t>
      </w:r>
    </w:p>
    <w:p w:rsidR="00C310FE" w:rsidRPr="00D33641" w:rsidRDefault="00C310FE" w:rsidP="00C310FE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6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01.01.2015 года Программа </w:t>
      </w:r>
      <w:r w:rsidRPr="00D33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D33641">
        <w:rPr>
          <w:rFonts w:ascii="Times New Roman" w:eastAsia="Times New Roman" w:hAnsi="Times New Roman" w:cs="Times New Roman"/>
          <w:sz w:val="24"/>
          <w:szCs w:val="24"/>
          <w:lang w:eastAsia="ar-SA"/>
        </w:rPr>
        <w:t>Дошкольник» приведена в соответствие с решением о бюджете Парабельского муниципального района на 2014 год.</w:t>
      </w:r>
    </w:p>
    <w:p w:rsidR="00C310FE" w:rsidRPr="00804DD7" w:rsidRDefault="00C310FE" w:rsidP="00C310FE">
      <w:pPr>
        <w:spacing w:after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80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проверяемый период реализации в Программу </w:t>
      </w:r>
      <w:r w:rsidRPr="00804D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804D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Обеспечение жильем молодых семей на территории Парабельского района» на 2011-2015 годы </w:t>
      </w:r>
      <w:r w:rsidRPr="0080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внесены изменения в части «Объем и источники  финансирования программы» Постановлением Администрации Парабельского района от </w:t>
      </w:r>
      <w:r w:rsidRPr="00804D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13.02.2014 года № 78а.</w:t>
      </w:r>
    </w:p>
    <w:p w:rsidR="00C310FE" w:rsidRPr="00804DD7" w:rsidRDefault="00C310FE" w:rsidP="00C310FE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4DD7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Решением Думы Парабельского района № 55 от 24.12.2013</w:t>
      </w:r>
      <w:r w:rsidR="00637B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04DD7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="00637BB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804D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 бюджете Парабельского муниципального района на 2014 год» предусмотрена  в бюджете сумма финансирования по Программе </w:t>
      </w:r>
      <w:r w:rsidRPr="00804D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804D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Обеспечение жильем молодых семей на территории  Парабельского  района на 2011-2015 годы» </w:t>
      </w:r>
      <w:r w:rsidRPr="00804D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1174,9</w:t>
      </w:r>
      <w:r w:rsidRPr="00804D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рублей, что на 674,9 тыс. рублей больше предусмотренного  Программой финансирования (постановление администрации Парабельского района №828а от 28.10.2013 года в сумме </w:t>
      </w:r>
      <w:r w:rsidRPr="00804D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500,0</w:t>
      </w:r>
      <w:r w:rsidRPr="00804D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руб.)</w:t>
      </w:r>
    </w:p>
    <w:p w:rsidR="00C310FE" w:rsidRPr="00804DD7" w:rsidRDefault="00C310FE" w:rsidP="00C310FE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4D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Постановлением Администрации Парабельского района № 78а от 13.02.2014г «О внесении изменений в муниципальную программу «Обеспечение жильем молодых семей на территории Парабельского района»  на 2011-2015 годы внесены изменения, и сумма на реализацию программных мероприятий составила – </w:t>
      </w:r>
      <w:r w:rsidRPr="00804D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1692,0 тыс. руб</w:t>
      </w:r>
      <w:r w:rsidRPr="00804D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Решением Думы Парабельского района № 17 от 24.04.2014 года сумма программных мероприятий уточнена в соответствии с программой в размере 1692,0 тыс. руб.  </w:t>
      </w:r>
    </w:p>
    <w:p w:rsidR="00C310FE" w:rsidRPr="00143A53" w:rsidRDefault="00C310FE" w:rsidP="00637B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36AB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Pr="00FE118F">
        <w:rPr>
          <w:rFonts w:ascii="Times New Roman" w:hAnsi="Times New Roman" w:cs="Times New Roman"/>
          <w:sz w:val="24"/>
          <w:szCs w:val="24"/>
        </w:rPr>
        <w:t>мероприятия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муниципальной целевой программе</w:t>
      </w:r>
      <w:r w:rsidRPr="00FE118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7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B670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Устойчивое развитие  Парабельского  района Томской области на 2014-2017 годы и на период до 2020 года» </w:t>
      </w:r>
      <w:hyperlink r:id="rId11" w:history="1">
        <w:r w:rsidRPr="00143A53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 xml:space="preserve">        Постановлением Администрации Томской области от 06.12.2013 N 520а (ред. от                25.12.2014) "Об утверждении государственной программы Томской области "Устойчивое развитие сельских территорий Томской области до 2020 года" </w:t>
        </w:r>
      </w:hyperlink>
      <w:r w:rsidRPr="00143A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утвержден Порядок предоставления социальных выплат на строительство (приобретение) жилья гражданам, проживающим в сельской местности, в том числе молодым семьям и молодым специалистам. В соответствии  с п. 27 утвержденного Порядка жилое помещение оформляется в общую собственность всех членов семьи, указанных в свидетельстве:</w:t>
      </w:r>
      <w:r w:rsidR="00637B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43A53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приобретения готового жилого помещения - в течение года со дня выдачи свидетельства</w:t>
      </w:r>
      <w:r w:rsidR="00637B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(ж</w:t>
      </w:r>
      <w:r w:rsidRPr="00143A53">
        <w:rPr>
          <w:rFonts w:ascii="Times New Roman" w:eastAsia="Times New Roman" w:hAnsi="Times New Roman" w:cs="Times New Roman"/>
          <w:sz w:val="24"/>
          <w:szCs w:val="24"/>
          <w:lang w:eastAsia="ar-SA"/>
        </w:rPr>
        <w:t>илое помещение по адресу: п. Заводской, пер. Промышленный, 4-2, приобретенное по договору купли-продажи от 15.08.2014</w:t>
      </w:r>
      <w:r w:rsidR="00637B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43A53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="00637B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143A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участницей Программы Хорьковой Ларисой Дмитриевной  на момент проведения проверки  </w:t>
      </w:r>
      <w:r w:rsidRPr="00143A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собственность</w:t>
      </w:r>
      <w:r w:rsidRPr="00143A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43A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не оформлено</w:t>
      </w:r>
      <w:r w:rsidRPr="00143A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(уведомление об отсутствии в ЕГРП сведений о правах о недвижимом имуществе  и сделках с ним № 70/000/009/2015-3628 от 09.02.2015г).</w:t>
      </w:r>
    </w:p>
    <w:p w:rsidR="00C310FE" w:rsidRPr="00FE118F" w:rsidRDefault="00C310FE" w:rsidP="00C310FE">
      <w:pPr>
        <w:spacing w:after="75"/>
        <w:jc w:val="both"/>
        <w:rPr>
          <w:rFonts w:ascii="Times New Roman" w:hAnsi="Times New Roman" w:cs="Times New Roman"/>
          <w:sz w:val="24"/>
          <w:szCs w:val="24"/>
        </w:rPr>
      </w:pPr>
    </w:p>
    <w:p w:rsidR="00C310FE" w:rsidRPr="00C50AB1" w:rsidRDefault="00C310FE" w:rsidP="00637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FE118F">
        <w:rPr>
          <w:rFonts w:ascii="Times New Roman" w:hAnsi="Times New Roman" w:cs="Times New Roman"/>
          <w:sz w:val="24"/>
          <w:szCs w:val="24"/>
        </w:rPr>
        <w:t xml:space="preserve">    </w:t>
      </w:r>
      <w:r w:rsidRPr="00C50AB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</w:t>
      </w:r>
      <w:r w:rsidRPr="00C50AB1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План </w:t>
      </w:r>
    </w:p>
    <w:p w:rsidR="00C310FE" w:rsidRPr="00C50AB1" w:rsidRDefault="00C310FE" w:rsidP="00637BBB">
      <w:pPr>
        <w:suppressAutoHyphens/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50AB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работы Контрольно-счетного органа - Ревизионной комиссии муниципального образова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ния «Парабельский район» </w:t>
      </w:r>
      <w:r w:rsidR="0009178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 2016</w:t>
      </w:r>
      <w:r w:rsidRPr="00C50AB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год.</w:t>
      </w:r>
    </w:p>
    <w:p w:rsidR="00C310FE" w:rsidRPr="00C50AB1" w:rsidRDefault="00C310FE" w:rsidP="00C310FE">
      <w:pPr>
        <w:suppressAutoHyphens/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994"/>
        <w:gridCol w:w="2158"/>
        <w:gridCol w:w="6"/>
        <w:gridCol w:w="2052"/>
      </w:tblGrid>
      <w:tr w:rsidR="00C310FE" w:rsidRPr="00C041A2" w:rsidTr="00692013">
        <w:tc>
          <w:tcPr>
            <w:tcW w:w="648" w:type="dxa"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  <w:p w:rsidR="00C310FE" w:rsidRPr="00C041A2" w:rsidRDefault="00C310FE" w:rsidP="006920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4994" w:type="dxa"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Содержание работы</w:t>
            </w:r>
          </w:p>
        </w:tc>
        <w:tc>
          <w:tcPr>
            <w:tcW w:w="2164" w:type="dxa"/>
            <w:gridSpan w:val="2"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Срок проведения основного этапа мероприятия</w:t>
            </w:r>
          </w:p>
        </w:tc>
        <w:tc>
          <w:tcPr>
            <w:tcW w:w="2052" w:type="dxa"/>
          </w:tcPr>
          <w:p w:rsidR="00C310FE" w:rsidRPr="00C041A2" w:rsidRDefault="00C310FE" w:rsidP="00692013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Исполнитель</w:t>
            </w:r>
          </w:p>
        </w:tc>
      </w:tr>
      <w:tr w:rsidR="00C310FE" w:rsidRPr="00C041A2" w:rsidTr="00692013">
        <w:tc>
          <w:tcPr>
            <w:tcW w:w="648" w:type="dxa"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94" w:type="dxa"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64" w:type="dxa"/>
            <w:gridSpan w:val="2"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052" w:type="dxa"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C310FE" w:rsidRPr="00C041A2" w:rsidTr="00692013">
        <w:tc>
          <w:tcPr>
            <w:tcW w:w="9858" w:type="dxa"/>
            <w:gridSpan w:val="5"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ar-SA"/>
              </w:rPr>
              <w:t>Экспертно-аналитические мероприятия</w:t>
            </w:r>
          </w:p>
        </w:tc>
      </w:tr>
      <w:tr w:rsidR="00C310FE" w:rsidRPr="00C041A2" w:rsidTr="00692013">
        <w:tc>
          <w:tcPr>
            <w:tcW w:w="648" w:type="dxa"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94" w:type="dxa"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Экспертиза проекта решения о бюджете </w:t>
            </w:r>
            <w:r w:rsidRPr="00C041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Парабельского района</w:t>
            </w: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 2017 год.</w:t>
            </w:r>
          </w:p>
          <w:p w:rsidR="00C310FE" w:rsidRPr="00C041A2" w:rsidRDefault="00C310FE" w:rsidP="006920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4" w:type="dxa"/>
            <w:gridSpan w:val="2"/>
            <w:vMerge w:val="restart"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2052" w:type="dxa"/>
            <w:vMerge w:val="restart"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Вялова Г.А.</w:t>
            </w:r>
          </w:p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Инспектор КСО</w:t>
            </w:r>
          </w:p>
        </w:tc>
      </w:tr>
      <w:tr w:rsidR="00C310FE" w:rsidRPr="00C041A2" w:rsidTr="00692013">
        <w:tc>
          <w:tcPr>
            <w:tcW w:w="648" w:type="dxa"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</w:t>
            </w:r>
          </w:p>
        </w:tc>
        <w:tc>
          <w:tcPr>
            <w:tcW w:w="4994" w:type="dxa"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Экспертиза проекта решения о бюджете </w:t>
            </w:r>
            <w:r w:rsidRPr="00C041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Парабельского сельского поселения</w:t>
            </w: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2017 год.</w:t>
            </w:r>
          </w:p>
        </w:tc>
        <w:tc>
          <w:tcPr>
            <w:tcW w:w="2164" w:type="dxa"/>
            <w:gridSpan w:val="2"/>
            <w:vMerge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52" w:type="dxa"/>
            <w:vMerge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10FE" w:rsidRPr="00C041A2" w:rsidTr="00692013">
        <w:tc>
          <w:tcPr>
            <w:tcW w:w="648" w:type="dxa"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94" w:type="dxa"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Экспертиза проекта решения о бюджете </w:t>
            </w:r>
            <w:r w:rsidRPr="00C041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Новосельцевского сельского поселения</w:t>
            </w: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2017 год.</w:t>
            </w:r>
          </w:p>
        </w:tc>
        <w:tc>
          <w:tcPr>
            <w:tcW w:w="2164" w:type="dxa"/>
            <w:gridSpan w:val="2"/>
            <w:vMerge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52" w:type="dxa"/>
            <w:vMerge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10FE" w:rsidRPr="00C041A2" w:rsidTr="00692013">
        <w:tc>
          <w:tcPr>
            <w:tcW w:w="648" w:type="dxa"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994" w:type="dxa"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Экспертиза проекта решения о бюджете </w:t>
            </w:r>
            <w:r w:rsidRPr="00C041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Заводского сельского поселения</w:t>
            </w: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2017 год.</w:t>
            </w:r>
          </w:p>
        </w:tc>
        <w:tc>
          <w:tcPr>
            <w:tcW w:w="2164" w:type="dxa"/>
            <w:gridSpan w:val="2"/>
            <w:vMerge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52" w:type="dxa"/>
            <w:vMerge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10FE" w:rsidRPr="00C041A2" w:rsidTr="00692013">
        <w:tc>
          <w:tcPr>
            <w:tcW w:w="648" w:type="dxa"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994" w:type="dxa"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Экспертиза проекта решения о бюджете </w:t>
            </w:r>
            <w:r w:rsidRPr="00C041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Нарымского сельского поселения</w:t>
            </w: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2017 год.</w:t>
            </w:r>
          </w:p>
        </w:tc>
        <w:tc>
          <w:tcPr>
            <w:tcW w:w="2164" w:type="dxa"/>
            <w:gridSpan w:val="2"/>
            <w:vMerge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52" w:type="dxa"/>
            <w:vMerge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10FE" w:rsidRPr="00C041A2" w:rsidTr="00692013">
        <w:tc>
          <w:tcPr>
            <w:tcW w:w="648" w:type="dxa"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994" w:type="dxa"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Экспертиза проекта решения о бюджете </w:t>
            </w:r>
            <w:r w:rsidRPr="00C041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Старицинского сельского поселения</w:t>
            </w: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2017 год.</w:t>
            </w:r>
          </w:p>
        </w:tc>
        <w:tc>
          <w:tcPr>
            <w:tcW w:w="2164" w:type="dxa"/>
            <w:gridSpan w:val="2"/>
            <w:vMerge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52" w:type="dxa"/>
            <w:vMerge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10FE" w:rsidRPr="00C041A2" w:rsidTr="00692013">
        <w:tc>
          <w:tcPr>
            <w:tcW w:w="648" w:type="dxa"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994" w:type="dxa"/>
          </w:tcPr>
          <w:p w:rsidR="00C310FE" w:rsidRPr="00C041A2" w:rsidRDefault="00C310FE" w:rsidP="00692013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Экспертиза проектов решений муниципальных правовых актов и иных документов, поступающих на рассмотрение по вопросам, отнесенным к компетенции Контрольно-счетного органа и подготовка экспертно-аналитических заключений </w:t>
            </w:r>
          </w:p>
        </w:tc>
        <w:tc>
          <w:tcPr>
            <w:tcW w:w="2164" w:type="dxa"/>
            <w:gridSpan w:val="2"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мере поступления</w:t>
            </w:r>
          </w:p>
        </w:tc>
        <w:tc>
          <w:tcPr>
            <w:tcW w:w="2052" w:type="dxa"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Вялова Г.А.</w:t>
            </w:r>
          </w:p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Инспектор КСО.</w:t>
            </w:r>
          </w:p>
        </w:tc>
      </w:tr>
      <w:tr w:rsidR="00C310FE" w:rsidRPr="00C041A2" w:rsidTr="00692013">
        <w:tc>
          <w:tcPr>
            <w:tcW w:w="648" w:type="dxa"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994" w:type="dxa"/>
          </w:tcPr>
          <w:p w:rsidR="00C310FE" w:rsidRPr="00C041A2" w:rsidRDefault="00C310FE" w:rsidP="00692013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lang w:eastAsia="ar-SA"/>
              </w:rPr>
              <w:t>Экспертиза проектов муниципальных долгосрочных целевых программ, а также проектов муниципальных правовых актов о внесении изменений в утвержденные проекты долгосрочных целевых программ; подготовка заключений по результатам экспертизы.</w:t>
            </w:r>
          </w:p>
        </w:tc>
        <w:tc>
          <w:tcPr>
            <w:tcW w:w="2164" w:type="dxa"/>
            <w:gridSpan w:val="2"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мере поступления</w:t>
            </w:r>
          </w:p>
        </w:tc>
        <w:tc>
          <w:tcPr>
            <w:tcW w:w="2052" w:type="dxa"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Вялова Г.А.</w:t>
            </w:r>
          </w:p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Инспектор КСО.</w:t>
            </w:r>
          </w:p>
        </w:tc>
      </w:tr>
      <w:tr w:rsidR="00C310FE" w:rsidRPr="00C041A2" w:rsidTr="00AD3326">
        <w:trPr>
          <w:trHeight w:val="1230"/>
        </w:trPr>
        <w:tc>
          <w:tcPr>
            <w:tcW w:w="7800" w:type="dxa"/>
            <w:gridSpan w:val="3"/>
            <w:vMerge w:val="restart"/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7"/>
              <w:gridCol w:w="4962"/>
              <w:gridCol w:w="2406"/>
              <w:gridCol w:w="45"/>
              <w:gridCol w:w="1801"/>
            </w:tblGrid>
            <w:tr w:rsidR="00C310FE" w:rsidRPr="00C041A2" w:rsidTr="00091788">
              <w:trPr>
                <w:gridAfter w:val="3"/>
                <w:wAfter w:w="4252" w:type="dxa"/>
                <w:trHeight w:val="1216"/>
              </w:trPr>
              <w:tc>
                <w:tcPr>
                  <w:tcW w:w="567" w:type="dxa"/>
                </w:tcPr>
                <w:p w:rsidR="00C310FE" w:rsidRPr="00C041A2" w:rsidRDefault="00C310FE" w:rsidP="00692013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C0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9</w:t>
                  </w:r>
                </w:p>
              </w:tc>
              <w:tc>
                <w:tcPr>
                  <w:tcW w:w="4962" w:type="dxa"/>
                </w:tcPr>
                <w:p w:rsidR="00C310FE" w:rsidRPr="00C041A2" w:rsidRDefault="00C310FE" w:rsidP="00AD3326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C0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Внешняя проверка Отчета Администрации </w:t>
                  </w:r>
                  <w:r w:rsidRPr="00C041A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ar-SA"/>
                    </w:rPr>
                    <w:t>Парабельского района</w:t>
                  </w:r>
                  <w:r w:rsidRPr="00C0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Томской области об исполнении бюджета Парабельского муниципального района за 2015 год. </w:t>
                  </w:r>
                </w:p>
              </w:tc>
            </w:tr>
            <w:tr w:rsidR="00C310FE" w:rsidRPr="00C041A2" w:rsidTr="00091788">
              <w:tc>
                <w:tcPr>
                  <w:tcW w:w="567" w:type="dxa"/>
                </w:tcPr>
                <w:p w:rsidR="00C310FE" w:rsidRPr="00C041A2" w:rsidRDefault="00C310FE" w:rsidP="00692013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C0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10</w:t>
                  </w:r>
                </w:p>
              </w:tc>
              <w:tc>
                <w:tcPr>
                  <w:tcW w:w="4962" w:type="dxa"/>
                </w:tcPr>
                <w:p w:rsidR="00C310FE" w:rsidRPr="00C041A2" w:rsidRDefault="00C310FE" w:rsidP="0069201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C0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Внешняя проверка Отчета Администрации </w:t>
                  </w:r>
                  <w:r w:rsidRPr="00C041A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ar-SA"/>
                    </w:rPr>
                    <w:t>Парабельского сельского поселения</w:t>
                  </w:r>
                  <w:r w:rsidRPr="00C0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Томской области об исполнении бюджета Парабельского сельского поселения за 2015 год. </w:t>
                  </w:r>
                </w:p>
              </w:tc>
              <w:tc>
                <w:tcPr>
                  <w:tcW w:w="4252" w:type="dxa"/>
                  <w:gridSpan w:val="3"/>
                  <w:shd w:val="clear" w:color="auto" w:fill="auto"/>
                </w:tcPr>
                <w:p w:rsidR="00C310FE" w:rsidRPr="00C041A2" w:rsidRDefault="00091788" w:rsidP="00091788">
                  <w:pPr>
                    <w:spacing w:after="0" w:line="240" w:lineRule="auto"/>
                    <w:ind w:right="14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       </w:t>
                  </w:r>
                  <w:r w:rsidR="00C310FE" w:rsidRPr="00C0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апрель</w:t>
                  </w:r>
                </w:p>
              </w:tc>
            </w:tr>
            <w:tr w:rsidR="00C310FE" w:rsidRPr="00C041A2" w:rsidTr="00091788">
              <w:trPr>
                <w:gridAfter w:val="3"/>
                <w:wAfter w:w="4252" w:type="dxa"/>
              </w:trPr>
              <w:tc>
                <w:tcPr>
                  <w:tcW w:w="567" w:type="dxa"/>
                </w:tcPr>
                <w:p w:rsidR="00C310FE" w:rsidRPr="00C041A2" w:rsidRDefault="00C310FE" w:rsidP="00692013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C0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11</w:t>
                  </w:r>
                </w:p>
              </w:tc>
              <w:tc>
                <w:tcPr>
                  <w:tcW w:w="4962" w:type="dxa"/>
                </w:tcPr>
                <w:p w:rsidR="00C310FE" w:rsidRPr="00C041A2" w:rsidRDefault="00C310FE" w:rsidP="0069201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C0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Внешняя проверка Отчета Администрации </w:t>
                  </w:r>
                  <w:r w:rsidRPr="00C041A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ar-SA"/>
                    </w:rPr>
                    <w:t>Нарымского сельского поселения</w:t>
                  </w:r>
                  <w:r w:rsidRPr="00C0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Томской области об исполнении бюджета Нарымского сельского поселения за 2015 год. </w:t>
                  </w:r>
                </w:p>
                <w:p w:rsidR="00C310FE" w:rsidRPr="00C041A2" w:rsidRDefault="00C310FE" w:rsidP="0069201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C310FE" w:rsidRPr="00C041A2" w:rsidTr="00091788">
              <w:trPr>
                <w:gridAfter w:val="1"/>
                <w:wAfter w:w="1801" w:type="dxa"/>
              </w:trPr>
              <w:tc>
                <w:tcPr>
                  <w:tcW w:w="567" w:type="dxa"/>
                </w:tcPr>
                <w:p w:rsidR="00C310FE" w:rsidRPr="00C041A2" w:rsidRDefault="00C310FE" w:rsidP="00692013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C0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12</w:t>
                  </w:r>
                </w:p>
              </w:tc>
              <w:tc>
                <w:tcPr>
                  <w:tcW w:w="4962" w:type="dxa"/>
                </w:tcPr>
                <w:p w:rsidR="00C310FE" w:rsidRPr="00C041A2" w:rsidRDefault="00C310FE" w:rsidP="0069201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C0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Внешняя проверка Отчета Администрации </w:t>
                  </w:r>
                  <w:r w:rsidRPr="00C041A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ar-SA"/>
                    </w:rPr>
                    <w:t>Новосельцевского сельского поселения</w:t>
                  </w:r>
                  <w:r w:rsidRPr="00C0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Томской области об исполнении бюджета Новосельцевского сельского поселения за 2015 год. </w:t>
                  </w:r>
                </w:p>
              </w:tc>
              <w:tc>
                <w:tcPr>
                  <w:tcW w:w="2451" w:type="dxa"/>
                  <w:gridSpan w:val="2"/>
                  <w:shd w:val="clear" w:color="auto" w:fill="auto"/>
                </w:tcPr>
                <w:p w:rsidR="00C310FE" w:rsidRPr="00C041A2" w:rsidRDefault="00C310FE" w:rsidP="006920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C310FE" w:rsidRPr="00C041A2" w:rsidTr="00091788">
              <w:trPr>
                <w:gridAfter w:val="3"/>
                <w:wAfter w:w="4252" w:type="dxa"/>
              </w:trPr>
              <w:tc>
                <w:tcPr>
                  <w:tcW w:w="567" w:type="dxa"/>
                </w:tcPr>
                <w:p w:rsidR="00C310FE" w:rsidRPr="00C041A2" w:rsidRDefault="00C310FE" w:rsidP="00692013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C0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13</w:t>
                  </w:r>
                </w:p>
              </w:tc>
              <w:tc>
                <w:tcPr>
                  <w:tcW w:w="4962" w:type="dxa"/>
                </w:tcPr>
                <w:p w:rsidR="00C310FE" w:rsidRPr="00C041A2" w:rsidRDefault="00C310FE" w:rsidP="0069201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C0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Внешняя проверка Отчета Администрации </w:t>
                  </w:r>
                  <w:r w:rsidRPr="00C041A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ar-SA"/>
                    </w:rPr>
                    <w:t>Заводского сельского поселения</w:t>
                  </w:r>
                  <w:r w:rsidRPr="00C0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Томской области об исполнении бюджета Заводского сельского поселения за 2015 год. </w:t>
                  </w:r>
                </w:p>
                <w:p w:rsidR="00C310FE" w:rsidRPr="00C041A2" w:rsidRDefault="00C310FE" w:rsidP="0069201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C310FE" w:rsidRPr="00C041A2" w:rsidTr="00091788">
              <w:trPr>
                <w:gridAfter w:val="2"/>
                <w:wAfter w:w="1846" w:type="dxa"/>
              </w:trPr>
              <w:tc>
                <w:tcPr>
                  <w:tcW w:w="567" w:type="dxa"/>
                </w:tcPr>
                <w:p w:rsidR="00C310FE" w:rsidRPr="00C041A2" w:rsidRDefault="00C310FE" w:rsidP="00692013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C0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14</w:t>
                  </w:r>
                </w:p>
              </w:tc>
              <w:tc>
                <w:tcPr>
                  <w:tcW w:w="4962" w:type="dxa"/>
                </w:tcPr>
                <w:p w:rsidR="00C310FE" w:rsidRPr="00C041A2" w:rsidRDefault="00C310FE" w:rsidP="0069201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C0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Внешняя проверка Отчета Администрации </w:t>
                  </w:r>
                  <w:r w:rsidRPr="00C041A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ar-SA"/>
                    </w:rPr>
                    <w:t>Старицинского сельского поселения</w:t>
                  </w:r>
                  <w:r w:rsidRPr="00C0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Томской области об исполнении бюджета Старицинского сельского поселения за 2015 год. </w:t>
                  </w:r>
                </w:p>
              </w:tc>
              <w:tc>
                <w:tcPr>
                  <w:tcW w:w="2406" w:type="dxa"/>
                  <w:shd w:val="clear" w:color="auto" w:fill="auto"/>
                </w:tcPr>
                <w:p w:rsidR="00C310FE" w:rsidRPr="00C041A2" w:rsidRDefault="00C310FE" w:rsidP="006920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C310FE" w:rsidRPr="00C041A2" w:rsidTr="00091788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2"/>
                <w:wBefore w:w="5529" w:type="dxa"/>
                <w:trHeight w:val="100"/>
              </w:trPr>
              <w:tc>
                <w:tcPr>
                  <w:tcW w:w="4252" w:type="dxa"/>
                  <w:gridSpan w:val="3"/>
                </w:tcPr>
                <w:p w:rsidR="00C310FE" w:rsidRPr="00C041A2" w:rsidRDefault="00C310FE" w:rsidP="00692013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Контрольные мероприятия</w:t>
            </w:r>
          </w:p>
        </w:tc>
        <w:tc>
          <w:tcPr>
            <w:tcW w:w="2058" w:type="dxa"/>
            <w:gridSpan w:val="2"/>
          </w:tcPr>
          <w:p w:rsidR="00C310FE" w:rsidRPr="00C041A2" w:rsidRDefault="00C310FE" w:rsidP="00692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:rsidR="00C310FE" w:rsidRPr="00C041A2" w:rsidRDefault="00C310FE" w:rsidP="00692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Вялова Г.А.</w:t>
            </w:r>
          </w:p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Инспектор КСО</w:t>
            </w:r>
          </w:p>
        </w:tc>
      </w:tr>
      <w:tr w:rsidR="00C310FE" w:rsidRPr="00C041A2" w:rsidTr="00692013">
        <w:trPr>
          <w:trHeight w:val="315"/>
        </w:trPr>
        <w:tc>
          <w:tcPr>
            <w:tcW w:w="7800" w:type="dxa"/>
            <w:gridSpan w:val="3"/>
            <w:vMerge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58" w:type="dxa"/>
            <w:gridSpan w:val="2"/>
          </w:tcPr>
          <w:p w:rsidR="00C310FE" w:rsidRPr="00091788" w:rsidRDefault="00C310FE" w:rsidP="006920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10FE" w:rsidRPr="00C041A2" w:rsidTr="00692013">
        <w:tc>
          <w:tcPr>
            <w:tcW w:w="648" w:type="dxa"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94" w:type="dxa"/>
          </w:tcPr>
          <w:p w:rsidR="00C310FE" w:rsidRPr="00C041A2" w:rsidRDefault="00C310FE" w:rsidP="00AD33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контроля над исполнением представлений Ревизионной комиссии по результатам контрольных мероприятий 2015 года.</w:t>
            </w:r>
          </w:p>
        </w:tc>
        <w:tc>
          <w:tcPr>
            <w:tcW w:w="2164" w:type="dxa"/>
            <w:gridSpan w:val="2"/>
          </w:tcPr>
          <w:p w:rsidR="00C310FE" w:rsidRPr="00C041A2" w:rsidRDefault="00C310FE" w:rsidP="00091788">
            <w:pPr>
              <w:suppressAutoHyphens/>
              <w:snapToGri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2052" w:type="dxa"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Вялова Г.А.</w:t>
            </w:r>
          </w:p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Инспектор КСО.</w:t>
            </w:r>
          </w:p>
        </w:tc>
      </w:tr>
      <w:tr w:rsidR="00C310FE" w:rsidRPr="00C041A2" w:rsidTr="00692013">
        <w:tc>
          <w:tcPr>
            <w:tcW w:w="648" w:type="dxa"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994" w:type="dxa"/>
          </w:tcPr>
          <w:p w:rsidR="00C310FE" w:rsidRPr="00C041A2" w:rsidRDefault="00C310FE" w:rsidP="00AD3326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к представлению в Думу Парабельского района отчета о деятельности Контрольно-счетной органа – Ревизионной комиссии за 2015 год.</w:t>
            </w:r>
          </w:p>
        </w:tc>
        <w:tc>
          <w:tcPr>
            <w:tcW w:w="2164" w:type="dxa"/>
            <w:gridSpan w:val="2"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февраль</w:t>
            </w:r>
          </w:p>
        </w:tc>
        <w:tc>
          <w:tcPr>
            <w:tcW w:w="2052" w:type="dxa"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Вялова Г.А.</w:t>
            </w:r>
          </w:p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Инспектор КСО</w:t>
            </w:r>
          </w:p>
        </w:tc>
      </w:tr>
      <w:tr w:rsidR="00C310FE" w:rsidRPr="00C041A2" w:rsidTr="00692013">
        <w:tc>
          <w:tcPr>
            <w:tcW w:w="648" w:type="dxa"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94" w:type="dxa"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полноты зачисления в бюджет Парабельского сельского поселения Парабельского района доходов от использования имущества, находящегося в муниципальной собственности</w:t>
            </w:r>
          </w:p>
        </w:tc>
        <w:tc>
          <w:tcPr>
            <w:tcW w:w="2164" w:type="dxa"/>
            <w:gridSpan w:val="2"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2052" w:type="dxa"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Вялова Г.А.</w:t>
            </w:r>
          </w:p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Инспектор КСО</w:t>
            </w:r>
          </w:p>
        </w:tc>
      </w:tr>
      <w:tr w:rsidR="00C310FE" w:rsidRPr="00C041A2" w:rsidTr="00692013">
        <w:tc>
          <w:tcPr>
            <w:tcW w:w="648" w:type="dxa"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994" w:type="dxa"/>
          </w:tcPr>
          <w:p w:rsidR="00C310FE" w:rsidRPr="00AD3326" w:rsidRDefault="00C310FE" w:rsidP="006920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целевого и эффективного использования бюджетных средств, выделенных  в 2013-2014 г.  на реализацию муниципальной целевой программы «Газификация Парабельского района на период 2013-2015гг».</w:t>
            </w:r>
          </w:p>
        </w:tc>
        <w:tc>
          <w:tcPr>
            <w:tcW w:w="2164" w:type="dxa"/>
            <w:gridSpan w:val="2"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2052" w:type="dxa"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Вялова Г.А.</w:t>
            </w:r>
          </w:p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Инспектор КСО</w:t>
            </w:r>
          </w:p>
        </w:tc>
      </w:tr>
      <w:tr w:rsidR="00C310FE" w:rsidRPr="00C041A2" w:rsidTr="00692013">
        <w:tc>
          <w:tcPr>
            <w:tcW w:w="648" w:type="dxa"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994" w:type="dxa"/>
          </w:tcPr>
          <w:p w:rsidR="00C310FE" w:rsidRPr="00C041A2" w:rsidRDefault="00C310FE" w:rsidP="006920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целевого и эффективного использования бюджетных средств, выделенных из бюджета района в 2015 году на осуществление деятельности избирательной комиссии МО «Парабельский район»</w:t>
            </w:r>
          </w:p>
        </w:tc>
        <w:tc>
          <w:tcPr>
            <w:tcW w:w="2164" w:type="dxa"/>
            <w:gridSpan w:val="2"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052" w:type="dxa"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Вялова Г.А.</w:t>
            </w:r>
          </w:p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Инспектор КСО.</w:t>
            </w:r>
          </w:p>
        </w:tc>
      </w:tr>
      <w:tr w:rsidR="00C310FE" w:rsidRPr="00C041A2" w:rsidTr="00692013">
        <w:tc>
          <w:tcPr>
            <w:tcW w:w="648" w:type="dxa"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994" w:type="dxa"/>
          </w:tcPr>
          <w:p w:rsidR="00C310FE" w:rsidRPr="00C041A2" w:rsidRDefault="00C310FE" w:rsidP="00AD3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Проверка целевого и эффективного использования бюджетных средств, выделенных  в 2013-2014 г на реализацию муниципальной целевой программы «Развитие туристской деятельности в Парабельском районе на 2013-2017г.г. </w:t>
            </w:r>
          </w:p>
        </w:tc>
        <w:tc>
          <w:tcPr>
            <w:tcW w:w="2164" w:type="dxa"/>
            <w:gridSpan w:val="2"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июнь</w:t>
            </w:r>
          </w:p>
        </w:tc>
        <w:tc>
          <w:tcPr>
            <w:tcW w:w="2052" w:type="dxa"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Вялова Г.А.</w:t>
            </w:r>
          </w:p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Инспектор КСО</w:t>
            </w:r>
          </w:p>
        </w:tc>
      </w:tr>
      <w:tr w:rsidR="00C310FE" w:rsidRPr="00C041A2" w:rsidTr="00692013">
        <w:trPr>
          <w:trHeight w:val="818"/>
        </w:trPr>
        <w:tc>
          <w:tcPr>
            <w:tcW w:w="648" w:type="dxa"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994" w:type="dxa"/>
          </w:tcPr>
          <w:p w:rsidR="00C310FE" w:rsidRPr="00C041A2" w:rsidRDefault="00C310FE" w:rsidP="00AD33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эффективности распоряжения муниципальным имуществом Парабельского района при предоставлении его в аренду в 2015 году, полноты и своевременности поступления в районный бюджет арендных платежей.</w:t>
            </w:r>
            <w:r w:rsidR="00AD33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(Инф бюллетень № 3(33)</w:t>
            </w:r>
            <w:r w:rsidR="00AD33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 2011г.</w:t>
            </w:r>
          </w:p>
        </w:tc>
        <w:tc>
          <w:tcPr>
            <w:tcW w:w="2164" w:type="dxa"/>
            <w:gridSpan w:val="2"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июль</w:t>
            </w:r>
          </w:p>
          <w:p w:rsidR="00C310FE" w:rsidRPr="00C041A2" w:rsidRDefault="00C310FE" w:rsidP="00AD33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52" w:type="dxa"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Вялова Г.А.</w:t>
            </w:r>
          </w:p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Инспектор КСО.</w:t>
            </w:r>
          </w:p>
        </w:tc>
      </w:tr>
      <w:tr w:rsidR="00C310FE" w:rsidRPr="00C041A2" w:rsidTr="00AD3326">
        <w:trPr>
          <w:trHeight w:val="1473"/>
        </w:trPr>
        <w:tc>
          <w:tcPr>
            <w:tcW w:w="648" w:type="dxa"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994" w:type="dxa"/>
          </w:tcPr>
          <w:p w:rsidR="00C310FE" w:rsidRPr="00C041A2" w:rsidRDefault="00C310FE" w:rsidP="00AD3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Аудит в сфере закупок товаров, работ и услуг для обеспечения муниципальных нужд Парабельского района в отношении одного заказчика (выборочно) Анализ и оценка результатов закупок (ст.98 Закона №44-ФЗ)</w:t>
            </w:r>
          </w:p>
        </w:tc>
        <w:tc>
          <w:tcPr>
            <w:tcW w:w="2164" w:type="dxa"/>
            <w:gridSpan w:val="2"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август</w:t>
            </w:r>
          </w:p>
        </w:tc>
        <w:tc>
          <w:tcPr>
            <w:tcW w:w="2052" w:type="dxa"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Вялова Г.А.</w:t>
            </w:r>
          </w:p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Инспектор КСО.</w:t>
            </w:r>
          </w:p>
        </w:tc>
      </w:tr>
      <w:tr w:rsidR="00C310FE" w:rsidRPr="00C041A2" w:rsidTr="00692013">
        <w:tc>
          <w:tcPr>
            <w:tcW w:w="648" w:type="dxa"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994" w:type="dxa"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Проверки полноты выполнения представлений, предписаний Контрольно-счетного органа, а также принятия мер по информационным письмам органов исполнительной власти по результатам проведенных контрольных мероприятий</w:t>
            </w:r>
          </w:p>
        </w:tc>
        <w:tc>
          <w:tcPr>
            <w:tcW w:w="2164" w:type="dxa"/>
            <w:gridSpan w:val="2"/>
            <w:shd w:val="clear" w:color="auto" w:fill="auto"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52" w:type="dxa"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Вялова Г.А.</w:t>
            </w:r>
          </w:p>
          <w:p w:rsidR="00C310FE" w:rsidRPr="00C041A2" w:rsidRDefault="00C310FE" w:rsidP="006920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Инспектор КСО.</w:t>
            </w:r>
          </w:p>
        </w:tc>
      </w:tr>
      <w:tr w:rsidR="00C310FE" w:rsidRPr="00C041A2" w:rsidTr="00692013">
        <w:tc>
          <w:tcPr>
            <w:tcW w:w="9858" w:type="dxa"/>
            <w:gridSpan w:val="5"/>
          </w:tcPr>
          <w:p w:rsidR="00C310FE" w:rsidRPr="00C041A2" w:rsidRDefault="00C310FE" w:rsidP="00692013">
            <w:pPr>
              <w:tabs>
                <w:tab w:val="left" w:pos="1485"/>
                <w:tab w:val="center" w:pos="482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  <w:tab/>
              <w:t>Информационные,</w:t>
            </w:r>
            <w:r w:rsidRPr="00C041A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  <w:tab/>
              <w:t>организационно-методические мероприятия</w:t>
            </w:r>
          </w:p>
        </w:tc>
      </w:tr>
      <w:tr w:rsidR="00C310FE" w:rsidRPr="00C041A2" w:rsidTr="00692013">
        <w:tc>
          <w:tcPr>
            <w:tcW w:w="648" w:type="dxa"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94" w:type="dxa"/>
          </w:tcPr>
          <w:p w:rsidR="00C310FE" w:rsidRPr="00C041A2" w:rsidRDefault="00C310FE" w:rsidP="006920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реализации результатов контрольных и экспертно-аналитических мероприятий, проведенных контрольно-счетным органом</w:t>
            </w:r>
          </w:p>
        </w:tc>
        <w:tc>
          <w:tcPr>
            <w:tcW w:w="2164" w:type="dxa"/>
            <w:gridSpan w:val="2"/>
          </w:tcPr>
          <w:p w:rsidR="00C310FE" w:rsidRPr="00C041A2" w:rsidRDefault="00C310FE" w:rsidP="006920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052" w:type="dxa"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Вялова Г.А.</w:t>
            </w:r>
          </w:p>
          <w:p w:rsidR="00C310FE" w:rsidRPr="00C041A2" w:rsidRDefault="00C310FE" w:rsidP="006920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Инспектор КСО</w:t>
            </w:r>
          </w:p>
        </w:tc>
      </w:tr>
      <w:tr w:rsidR="00C310FE" w:rsidRPr="00C041A2" w:rsidTr="00692013">
        <w:tc>
          <w:tcPr>
            <w:tcW w:w="648" w:type="dxa"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994" w:type="dxa"/>
          </w:tcPr>
          <w:p w:rsidR="00C310FE" w:rsidRPr="00C041A2" w:rsidRDefault="00C310FE" w:rsidP="006920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Разработка стандартов внешнего муниципального финансового контроля </w:t>
            </w:r>
          </w:p>
        </w:tc>
        <w:tc>
          <w:tcPr>
            <w:tcW w:w="2164" w:type="dxa"/>
            <w:gridSpan w:val="2"/>
          </w:tcPr>
          <w:p w:rsidR="00C310FE" w:rsidRPr="00C041A2" w:rsidRDefault="00C310FE" w:rsidP="006920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052" w:type="dxa"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Вялова Г.А.</w:t>
            </w:r>
          </w:p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10FE" w:rsidRPr="00C041A2" w:rsidTr="00692013">
        <w:tc>
          <w:tcPr>
            <w:tcW w:w="648" w:type="dxa"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94" w:type="dxa"/>
          </w:tcPr>
          <w:p w:rsidR="00C310FE" w:rsidRPr="00C041A2" w:rsidRDefault="00C310FE" w:rsidP="006920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ответов на запросы органов государственной власти, органов местного самоуправления и организаций, физических лиц</w:t>
            </w:r>
          </w:p>
        </w:tc>
        <w:tc>
          <w:tcPr>
            <w:tcW w:w="2164" w:type="dxa"/>
            <w:gridSpan w:val="2"/>
          </w:tcPr>
          <w:p w:rsidR="00C310FE" w:rsidRPr="00C041A2" w:rsidRDefault="00C310FE" w:rsidP="006920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мере поступления</w:t>
            </w:r>
          </w:p>
        </w:tc>
        <w:tc>
          <w:tcPr>
            <w:tcW w:w="2052" w:type="dxa"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Вялова Г.А.</w:t>
            </w:r>
          </w:p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10FE" w:rsidRPr="00C041A2" w:rsidTr="00692013">
        <w:tc>
          <w:tcPr>
            <w:tcW w:w="648" w:type="dxa"/>
          </w:tcPr>
          <w:p w:rsidR="00C310FE" w:rsidRPr="00C041A2" w:rsidRDefault="00C310FE" w:rsidP="006920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994" w:type="dxa"/>
          </w:tcPr>
          <w:p w:rsidR="00C310FE" w:rsidRPr="00C041A2" w:rsidRDefault="00C310FE" w:rsidP="00AD3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конференциях, семинарах и совещаниях, в том числе проводимых</w:t>
            </w:r>
            <w:r w:rsidR="00AD33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Советом</w:t>
            </w: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контрольно-счетных органов Томской области</w:t>
            </w:r>
          </w:p>
        </w:tc>
        <w:tc>
          <w:tcPr>
            <w:tcW w:w="2164" w:type="dxa"/>
            <w:gridSpan w:val="2"/>
          </w:tcPr>
          <w:p w:rsidR="00C310FE" w:rsidRPr="00C041A2" w:rsidRDefault="00C310FE" w:rsidP="006920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052" w:type="dxa"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Вялова Г.А.</w:t>
            </w:r>
          </w:p>
          <w:p w:rsidR="00C310FE" w:rsidRPr="00C041A2" w:rsidRDefault="00C310FE" w:rsidP="006920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10FE" w:rsidRPr="00C041A2" w:rsidTr="00692013">
        <w:tc>
          <w:tcPr>
            <w:tcW w:w="648" w:type="dxa"/>
          </w:tcPr>
          <w:p w:rsidR="00C310FE" w:rsidRPr="00C041A2" w:rsidRDefault="00C310FE" w:rsidP="006920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994" w:type="dxa"/>
          </w:tcPr>
          <w:p w:rsidR="00C310FE" w:rsidRPr="00C041A2" w:rsidRDefault="00C310FE" w:rsidP="006920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заседаниях Думы Парабельского района, постоянных коми</w:t>
            </w:r>
            <w:r w:rsidR="00AD33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ссиях Думы Парабельского района</w:t>
            </w:r>
          </w:p>
        </w:tc>
        <w:tc>
          <w:tcPr>
            <w:tcW w:w="2164" w:type="dxa"/>
            <w:gridSpan w:val="2"/>
          </w:tcPr>
          <w:p w:rsidR="00C310FE" w:rsidRPr="00C041A2" w:rsidRDefault="00C310FE" w:rsidP="006920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052" w:type="dxa"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Вялова Г.А.</w:t>
            </w:r>
          </w:p>
          <w:p w:rsidR="00C310FE" w:rsidRPr="00C041A2" w:rsidRDefault="00C310FE" w:rsidP="006920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10FE" w:rsidRPr="00C041A2" w:rsidTr="00692013">
        <w:tc>
          <w:tcPr>
            <w:tcW w:w="648" w:type="dxa"/>
          </w:tcPr>
          <w:p w:rsidR="00C310FE" w:rsidRPr="00C041A2" w:rsidRDefault="00C310FE" w:rsidP="006920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994" w:type="dxa"/>
          </w:tcPr>
          <w:p w:rsidR="00C310FE" w:rsidRPr="00C041A2" w:rsidRDefault="00C310FE" w:rsidP="006920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информации о деятельности Контрольно-счетного органа средствам массовой информации, в том числе размещение на официал</w:t>
            </w:r>
            <w:r w:rsidR="00AD33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ьном сайте Парабельского района</w:t>
            </w:r>
          </w:p>
        </w:tc>
        <w:tc>
          <w:tcPr>
            <w:tcW w:w="2164" w:type="dxa"/>
            <w:gridSpan w:val="2"/>
          </w:tcPr>
          <w:p w:rsidR="00C310FE" w:rsidRPr="00C041A2" w:rsidRDefault="00C310FE" w:rsidP="006920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052" w:type="dxa"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Вялова Г.А.</w:t>
            </w:r>
          </w:p>
          <w:p w:rsidR="00C310FE" w:rsidRPr="00C041A2" w:rsidRDefault="00C310FE" w:rsidP="006920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10FE" w:rsidRPr="00C041A2" w:rsidTr="00692013">
        <w:tc>
          <w:tcPr>
            <w:tcW w:w="648" w:type="dxa"/>
          </w:tcPr>
          <w:p w:rsidR="00C310FE" w:rsidRPr="00C041A2" w:rsidRDefault="00C310FE" w:rsidP="006920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994" w:type="dxa"/>
          </w:tcPr>
          <w:p w:rsidR="00C310FE" w:rsidRPr="00C041A2" w:rsidRDefault="00C310FE" w:rsidP="006920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плана работы контрольно-счетного органа на 2017 год.</w:t>
            </w:r>
          </w:p>
        </w:tc>
        <w:tc>
          <w:tcPr>
            <w:tcW w:w="2164" w:type="dxa"/>
            <w:gridSpan w:val="2"/>
          </w:tcPr>
          <w:p w:rsidR="00C310FE" w:rsidRPr="00C041A2" w:rsidRDefault="00C310FE" w:rsidP="006920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IV </w:t>
            </w: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квартал </w:t>
            </w:r>
          </w:p>
        </w:tc>
        <w:tc>
          <w:tcPr>
            <w:tcW w:w="2052" w:type="dxa"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Вялова Г.А.</w:t>
            </w:r>
          </w:p>
          <w:p w:rsidR="00C310FE" w:rsidRPr="00C041A2" w:rsidRDefault="00C310FE" w:rsidP="006920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10FE" w:rsidRPr="00C041A2" w:rsidTr="00692013">
        <w:tc>
          <w:tcPr>
            <w:tcW w:w="9858" w:type="dxa"/>
            <w:gridSpan w:val="5"/>
          </w:tcPr>
          <w:p w:rsidR="00C310FE" w:rsidRPr="00C041A2" w:rsidRDefault="00C310FE" w:rsidP="006920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52635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b/>
                <w:bCs/>
                <w:i/>
                <w:color w:val="052635"/>
                <w:sz w:val="24"/>
                <w:szCs w:val="24"/>
                <w:lang w:eastAsia="ar-SA"/>
              </w:rPr>
              <w:t>Сотрудничество с правоохранительными и контрольными органами по</w:t>
            </w:r>
          </w:p>
          <w:p w:rsidR="00C310FE" w:rsidRPr="00C041A2" w:rsidRDefault="00C310FE" w:rsidP="00AD3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b/>
                <w:bCs/>
                <w:i/>
                <w:color w:val="052635"/>
                <w:sz w:val="24"/>
                <w:szCs w:val="24"/>
                <w:lang w:eastAsia="ar-SA"/>
              </w:rPr>
              <w:t>направлениям деятельности контрольно–счетного органа</w:t>
            </w:r>
          </w:p>
        </w:tc>
      </w:tr>
      <w:tr w:rsidR="00C310FE" w:rsidRPr="00C041A2" w:rsidTr="00692013">
        <w:tc>
          <w:tcPr>
            <w:tcW w:w="648" w:type="dxa"/>
          </w:tcPr>
          <w:p w:rsidR="00C310FE" w:rsidRPr="00C041A2" w:rsidRDefault="00C310FE" w:rsidP="006920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994" w:type="dxa"/>
            <w:vAlign w:val="center"/>
          </w:tcPr>
          <w:p w:rsidR="00C310FE" w:rsidRPr="00C041A2" w:rsidRDefault="00C310FE" w:rsidP="00AD3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Обмен информацией и материалами проверок с правоохранительными, надзор</w:t>
            </w:r>
            <w:r w:rsidR="00AD33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ными и контролирующими органами</w:t>
            </w:r>
          </w:p>
        </w:tc>
        <w:tc>
          <w:tcPr>
            <w:tcW w:w="2164" w:type="dxa"/>
            <w:gridSpan w:val="2"/>
            <w:vAlign w:val="center"/>
          </w:tcPr>
          <w:p w:rsidR="00C310FE" w:rsidRPr="00C041A2" w:rsidRDefault="00C310FE" w:rsidP="006920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мере необходимости</w:t>
            </w:r>
          </w:p>
        </w:tc>
        <w:tc>
          <w:tcPr>
            <w:tcW w:w="2052" w:type="dxa"/>
          </w:tcPr>
          <w:p w:rsidR="00C310FE" w:rsidRPr="00C041A2" w:rsidRDefault="00C310FE" w:rsidP="006920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Вялова Г.А.</w:t>
            </w:r>
          </w:p>
          <w:p w:rsidR="00C310FE" w:rsidRPr="00C041A2" w:rsidRDefault="00C310FE" w:rsidP="006920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310FE" w:rsidRDefault="00C310FE" w:rsidP="00C310FE">
      <w:pPr>
        <w:spacing w:line="360" w:lineRule="auto"/>
        <w:jc w:val="both"/>
      </w:pPr>
    </w:p>
    <w:p w:rsidR="00091788" w:rsidRPr="00540158" w:rsidRDefault="00091788" w:rsidP="00C310FE">
      <w:pPr>
        <w:spacing w:line="360" w:lineRule="auto"/>
        <w:jc w:val="both"/>
      </w:pPr>
    </w:p>
    <w:p w:rsidR="00692013" w:rsidRPr="00AD3326" w:rsidRDefault="00692013" w:rsidP="00091788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D3326">
        <w:rPr>
          <w:rFonts w:ascii="Times New Roman" w:hAnsi="Times New Roman" w:cs="Times New Roman"/>
          <w:b/>
          <w:iCs/>
          <w:sz w:val="28"/>
          <w:szCs w:val="28"/>
        </w:rPr>
        <w:t>Интервью председателя Счетной палаты Колпашевского района</w:t>
      </w:r>
    </w:p>
    <w:p w:rsidR="00692013" w:rsidRDefault="00692013" w:rsidP="00091788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67FBA">
        <w:rPr>
          <w:rFonts w:ascii="Times New Roman" w:hAnsi="Times New Roman" w:cs="Times New Roman"/>
          <w:b/>
          <w:iCs/>
          <w:sz w:val="28"/>
          <w:szCs w:val="28"/>
        </w:rPr>
        <w:t>А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ндрея  </w:t>
      </w:r>
      <w:r w:rsidRPr="00167FBA">
        <w:rPr>
          <w:rFonts w:ascii="Times New Roman" w:hAnsi="Times New Roman" w:cs="Times New Roman"/>
          <w:b/>
          <w:iCs/>
          <w:sz w:val="28"/>
          <w:szCs w:val="28"/>
        </w:rPr>
        <w:t xml:space="preserve">Муратова газете </w:t>
      </w:r>
      <w:r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Pr="00167FBA">
        <w:rPr>
          <w:rFonts w:ascii="Times New Roman" w:hAnsi="Times New Roman" w:cs="Times New Roman"/>
          <w:b/>
          <w:iCs/>
          <w:sz w:val="28"/>
          <w:szCs w:val="28"/>
        </w:rPr>
        <w:t>Из первых рук</w:t>
      </w:r>
      <w:r>
        <w:rPr>
          <w:rFonts w:ascii="Times New Roman" w:hAnsi="Times New Roman" w:cs="Times New Roman"/>
          <w:b/>
          <w:iCs/>
          <w:sz w:val="28"/>
          <w:szCs w:val="28"/>
        </w:rPr>
        <w:t>»</w:t>
      </w:r>
      <w:r w:rsidRPr="00167FB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(</w:t>
      </w:r>
      <w:r w:rsidRPr="00167FBA">
        <w:rPr>
          <w:rFonts w:ascii="Times New Roman" w:hAnsi="Times New Roman" w:cs="Times New Roman"/>
          <w:b/>
          <w:iCs/>
          <w:sz w:val="28"/>
          <w:szCs w:val="28"/>
        </w:rPr>
        <w:t>г.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167FBA">
        <w:rPr>
          <w:rFonts w:ascii="Times New Roman" w:hAnsi="Times New Roman" w:cs="Times New Roman"/>
          <w:b/>
          <w:iCs/>
          <w:sz w:val="28"/>
          <w:szCs w:val="28"/>
        </w:rPr>
        <w:t>Колпашево</w:t>
      </w:r>
      <w:r>
        <w:rPr>
          <w:rFonts w:ascii="Times New Roman" w:hAnsi="Times New Roman" w:cs="Times New Roman"/>
          <w:b/>
          <w:iCs/>
          <w:sz w:val="28"/>
          <w:szCs w:val="28"/>
        </w:rPr>
        <w:t>)</w:t>
      </w:r>
    </w:p>
    <w:p w:rsidR="00692013" w:rsidRPr="00797A98" w:rsidRDefault="00692013" w:rsidP="00091788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97A98">
        <w:rPr>
          <w:i/>
          <w:iCs/>
          <w:sz w:val="20"/>
          <w:szCs w:val="20"/>
        </w:rPr>
        <w:t>Автор интервью: Елена Лавренова</w:t>
      </w:r>
      <w:r w:rsidRPr="00797A98">
        <w:rPr>
          <w:rFonts w:ascii="Times New Roman" w:hAnsi="Times New Roman" w:cs="Times New Roman"/>
          <w:i/>
          <w:iCs/>
          <w:sz w:val="20"/>
          <w:szCs w:val="20"/>
        </w:rPr>
        <w:t> </w:t>
      </w:r>
    </w:p>
    <w:p w:rsidR="00692013" w:rsidRDefault="00692013" w:rsidP="00AD33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326">
        <w:rPr>
          <w:rFonts w:ascii="Times New Roman" w:hAnsi="Times New Roman" w:cs="Times New Roman"/>
          <w:b/>
          <w:sz w:val="28"/>
          <w:szCs w:val="28"/>
        </w:rPr>
        <w:t xml:space="preserve">В Колпашевском районе осуществляет свою деятельность Счетная палата. О задачах, которые перед ней поставлены, мы поговорили с ее председателем Андреем Владимировичем Муратовым. </w:t>
      </w:r>
    </w:p>
    <w:p w:rsidR="00AD3326" w:rsidRPr="00AD3326" w:rsidRDefault="00AD3326" w:rsidP="00AD332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692013" w:rsidRDefault="00692013" w:rsidP="0069201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00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E6C">
        <w:rPr>
          <w:rFonts w:ascii="Times New Roman" w:hAnsi="Times New Roman" w:cs="Times New Roman"/>
          <w:b/>
          <w:i/>
          <w:sz w:val="28"/>
          <w:szCs w:val="28"/>
        </w:rPr>
        <w:t xml:space="preserve">Андрей Владимирович, расскажите о </w:t>
      </w:r>
      <w:r w:rsidR="00091788">
        <w:rPr>
          <w:rFonts w:ascii="Times New Roman" w:hAnsi="Times New Roman" w:cs="Times New Roman"/>
          <w:b/>
          <w:i/>
          <w:sz w:val="28"/>
          <w:szCs w:val="28"/>
        </w:rPr>
        <w:t xml:space="preserve">становлении </w:t>
      </w:r>
      <w:r w:rsidRPr="00355E6C">
        <w:rPr>
          <w:rFonts w:ascii="Times New Roman" w:hAnsi="Times New Roman" w:cs="Times New Roman"/>
          <w:b/>
          <w:i/>
          <w:sz w:val="28"/>
          <w:szCs w:val="28"/>
        </w:rPr>
        <w:t>Счетной палат</w:t>
      </w:r>
      <w:r w:rsidR="00091788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355E6C">
        <w:rPr>
          <w:rFonts w:ascii="Times New Roman" w:hAnsi="Times New Roman" w:cs="Times New Roman"/>
          <w:b/>
          <w:i/>
          <w:sz w:val="28"/>
          <w:szCs w:val="28"/>
        </w:rPr>
        <w:t xml:space="preserve"> района</w:t>
      </w:r>
      <w:r w:rsidRPr="00E80011">
        <w:rPr>
          <w:rFonts w:ascii="Times New Roman" w:hAnsi="Times New Roman" w:cs="Times New Roman"/>
          <w:i/>
          <w:sz w:val="28"/>
          <w:szCs w:val="28"/>
        </w:rPr>
        <w:t>.</w:t>
      </w:r>
    </w:p>
    <w:p w:rsidR="00692013" w:rsidRPr="00797A98" w:rsidRDefault="00692013" w:rsidP="0069201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E80011">
        <w:rPr>
          <w:rFonts w:ascii="Times New Roman" w:hAnsi="Times New Roman" w:cs="Times New Roman"/>
          <w:sz w:val="28"/>
          <w:szCs w:val="28"/>
        </w:rPr>
        <w:t xml:space="preserve">Счетная палата была создана на основании решения Думы Колпашевского района от 23 апреля 2012 года как орган, осуществляющий внешний (независимый) муниципальный финансовый контроль. В соответствии с Уставом Колпашевского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Счетная палата </w:t>
      </w:r>
      <w:r w:rsidRPr="00E80011">
        <w:rPr>
          <w:rFonts w:ascii="Times New Roman" w:hAnsi="Times New Roman" w:cs="Times New Roman"/>
          <w:sz w:val="28"/>
          <w:szCs w:val="28"/>
        </w:rPr>
        <w:t xml:space="preserve">является органом местного самоуправления, причем самым молодым в структуре органов власти района. Необходимостью создания </w:t>
      </w:r>
      <w:r>
        <w:rPr>
          <w:rFonts w:ascii="Times New Roman" w:hAnsi="Times New Roman" w:cs="Times New Roman"/>
          <w:sz w:val="28"/>
          <w:szCs w:val="28"/>
        </w:rPr>
        <w:t>Счетной палаты</w:t>
      </w:r>
      <w:r w:rsidRPr="00E80011">
        <w:rPr>
          <w:rFonts w:ascii="Times New Roman" w:hAnsi="Times New Roman" w:cs="Times New Roman"/>
          <w:sz w:val="28"/>
          <w:szCs w:val="28"/>
        </w:rPr>
        <w:t xml:space="preserve"> послужило требование бюджетного законодательства Российской Федерации, которое обязывает муниципальные образования проводить внешние проверки годовых отчетов об исполнении бюджета. Наша деятельность регулируется Бюджетным кодексом Российской Федерации, Федеральным законом «</w:t>
      </w:r>
      <w:r w:rsidRPr="00E80011">
        <w:rPr>
          <w:rFonts w:ascii="Times New Roman" w:hAnsi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E80011">
        <w:rPr>
          <w:rFonts w:ascii="Times New Roman" w:hAnsi="Times New Roman" w:cs="Times New Roman"/>
          <w:sz w:val="28"/>
          <w:szCs w:val="28"/>
        </w:rPr>
        <w:t>, Положением о Счетной палате, утвержденным решением Думы района.</w:t>
      </w:r>
    </w:p>
    <w:p w:rsidR="00692013" w:rsidRPr="00E80011" w:rsidRDefault="00692013" w:rsidP="00692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011">
        <w:rPr>
          <w:rFonts w:ascii="Times New Roman" w:hAnsi="Times New Roman" w:cs="Times New Roman"/>
          <w:sz w:val="28"/>
          <w:szCs w:val="28"/>
        </w:rPr>
        <w:t>Председатель Счетной палаты избран депутат</w:t>
      </w:r>
      <w:r w:rsidR="00091788">
        <w:rPr>
          <w:rFonts w:ascii="Times New Roman" w:hAnsi="Times New Roman" w:cs="Times New Roman"/>
          <w:sz w:val="28"/>
          <w:szCs w:val="28"/>
        </w:rPr>
        <w:t>ом</w:t>
      </w:r>
      <w:r w:rsidRPr="00E80011">
        <w:rPr>
          <w:rFonts w:ascii="Times New Roman" w:hAnsi="Times New Roman" w:cs="Times New Roman"/>
          <w:sz w:val="28"/>
          <w:szCs w:val="28"/>
        </w:rPr>
        <w:t xml:space="preserve"> районной Думы сроком на пять лет. Наряду с Главой района и председателем Думы района председатель Счетной палаты замещает муниципальную должность.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011">
        <w:rPr>
          <w:rFonts w:ascii="Times New Roman" w:hAnsi="Times New Roman" w:cs="Times New Roman"/>
          <w:sz w:val="28"/>
          <w:szCs w:val="28"/>
        </w:rPr>
        <w:t xml:space="preserve">Никакой прямой подчиненности </w:t>
      </w:r>
      <w:r>
        <w:rPr>
          <w:rFonts w:ascii="Times New Roman" w:hAnsi="Times New Roman" w:cs="Times New Roman"/>
          <w:sz w:val="28"/>
          <w:szCs w:val="28"/>
        </w:rPr>
        <w:t>Счетной палаты</w:t>
      </w:r>
      <w:r w:rsidRPr="00E80011">
        <w:rPr>
          <w:rFonts w:ascii="Times New Roman" w:hAnsi="Times New Roman" w:cs="Times New Roman"/>
          <w:sz w:val="28"/>
          <w:szCs w:val="28"/>
        </w:rPr>
        <w:t xml:space="preserve"> нет, </w:t>
      </w:r>
      <w:r w:rsidR="00091788">
        <w:rPr>
          <w:rFonts w:ascii="Times New Roman" w:hAnsi="Times New Roman" w:cs="Times New Roman"/>
          <w:sz w:val="28"/>
          <w:szCs w:val="28"/>
        </w:rPr>
        <w:t xml:space="preserve">- </w:t>
      </w:r>
      <w:r w:rsidRPr="00E80011">
        <w:rPr>
          <w:rFonts w:ascii="Times New Roman" w:hAnsi="Times New Roman" w:cs="Times New Roman"/>
          <w:sz w:val="28"/>
          <w:szCs w:val="28"/>
        </w:rPr>
        <w:t>законодательством, регулирующим нашу деятельность, установлена подотчетность районной Думе. Ежегодно председатель Счетной палаты докладывает депутатам Думы района о работе контрольно-счетного органа за прошедший год.</w:t>
      </w:r>
    </w:p>
    <w:p w:rsidR="00692013" w:rsidRPr="00E80011" w:rsidRDefault="00692013" w:rsidP="00692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011">
        <w:rPr>
          <w:rFonts w:ascii="Times New Roman" w:hAnsi="Times New Roman" w:cs="Times New Roman"/>
          <w:sz w:val="28"/>
          <w:szCs w:val="28"/>
        </w:rPr>
        <w:t>Полномочий, которые нам приходится исполнять, достаточно. К основным из них можно отнести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sub_921"/>
      <w:r w:rsidRPr="00E80011">
        <w:rPr>
          <w:rFonts w:ascii="Times New Roman" w:hAnsi="Times New Roman" w:cs="Times New Roman"/>
          <w:sz w:val="28"/>
          <w:szCs w:val="28"/>
        </w:rPr>
        <w:t xml:space="preserve">контроль за исполнением местного бюджета, </w:t>
      </w:r>
      <w:bookmarkStart w:id="1" w:name="sub_922"/>
      <w:bookmarkEnd w:id="0"/>
      <w:r>
        <w:rPr>
          <w:rFonts w:ascii="Times New Roman" w:hAnsi="Times New Roman" w:cs="Times New Roman"/>
          <w:sz w:val="28"/>
          <w:szCs w:val="28"/>
        </w:rPr>
        <w:t>экспертизу</w:t>
      </w:r>
      <w:r w:rsidRPr="00E80011">
        <w:rPr>
          <w:rFonts w:ascii="Times New Roman" w:hAnsi="Times New Roman" w:cs="Times New Roman"/>
          <w:sz w:val="28"/>
          <w:szCs w:val="28"/>
        </w:rPr>
        <w:t xml:space="preserve"> проектов местного бюджета, </w:t>
      </w:r>
      <w:bookmarkStart w:id="2" w:name="sub_923"/>
      <w:bookmarkEnd w:id="1"/>
      <w:r w:rsidRPr="00E80011">
        <w:rPr>
          <w:rFonts w:ascii="Times New Roman" w:hAnsi="Times New Roman" w:cs="Times New Roman"/>
          <w:sz w:val="28"/>
          <w:szCs w:val="28"/>
        </w:rPr>
        <w:t>внешн</w:t>
      </w:r>
      <w:r>
        <w:rPr>
          <w:rFonts w:ascii="Times New Roman" w:hAnsi="Times New Roman" w:cs="Times New Roman"/>
          <w:sz w:val="28"/>
          <w:szCs w:val="28"/>
        </w:rPr>
        <w:t>юю</w:t>
      </w:r>
      <w:r w:rsidRPr="00E80011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80011">
        <w:rPr>
          <w:rFonts w:ascii="Times New Roman" w:hAnsi="Times New Roman" w:cs="Times New Roman"/>
          <w:sz w:val="28"/>
          <w:szCs w:val="28"/>
        </w:rPr>
        <w:t xml:space="preserve"> годового отчета об исполнении местного бюджета, </w:t>
      </w:r>
      <w:bookmarkStart w:id="3" w:name="sub_924"/>
      <w:bookmarkEnd w:id="2"/>
      <w:r w:rsidRPr="00E80011">
        <w:rPr>
          <w:rFonts w:ascii="Times New Roman" w:hAnsi="Times New Roman" w:cs="Times New Roman"/>
          <w:sz w:val="28"/>
          <w:szCs w:val="28"/>
        </w:rPr>
        <w:t xml:space="preserve">осуществление контроля за законностью, результативностью (эффективностью и экономностью) использования средств местного бюджета, </w:t>
      </w:r>
      <w:bookmarkStart w:id="4" w:name="sub_925"/>
      <w:bookmarkEnd w:id="3"/>
      <w:r w:rsidRPr="00E80011">
        <w:rPr>
          <w:rFonts w:ascii="Times New Roman" w:hAnsi="Times New Roman" w:cs="Times New Roman"/>
          <w:sz w:val="28"/>
          <w:szCs w:val="28"/>
        </w:rPr>
        <w:t>контроль за соблюдением установленного порядка управления и распоряжения имуществом, находящимся в муниципальной собственности и  т.д.</w:t>
      </w:r>
      <w:bookmarkEnd w:id="4"/>
      <w:r w:rsidRPr="00E80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013" w:rsidRPr="00E80011" w:rsidRDefault="00692013" w:rsidP="00692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011">
        <w:rPr>
          <w:rFonts w:ascii="Times New Roman" w:hAnsi="Times New Roman" w:cs="Times New Roman"/>
          <w:sz w:val="28"/>
          <w:szCs w:val="28"/>
        </w:rPr>
        <w:t xml:space="preserve">Важным моментом в становлении системы внешнего муниципального финансового контроля на территории Колпашевского района явилось заключение в 2012 году Думой района с Советами поселений соглашений о передаче полномочий контрольно-счетного органа поселения Счетной палате района. Таким образом, на сегодняшний день в сфере нашей контрольной деятельности, помимо бюджета района, девять бюджетов поселений. В рамках данных соглашений Счетная палата ежегодно проводит экспертизы проектов бюджетов поселений на очередной финансовый год (основной целью является оценка проекта бюджета на соответствие требованиям бюджетного законодательства РФ) и осуществляет проверку отчетов об исполнении бюджетов поселений за отчетный год с целью оценки достоверности отчетных показателей. </w:t>
      </w:r>
    </w:p>
    <w:p w:rsidR="00692013" w:rsidRPr="00E80011" w:rsidRDefault="00692013" w:rsidP="00692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011">
        <w:rPr>
          <w:rFonts w:ascii="Times New Roman" w:hAnsi="Times New Roman" w:cs="Times New Roman"/>
          <w:sz w:val="28"/>
          <w:szCs w:val="28"/>
        </w:rPr>
        <w:t xml:space="preserve"> Ежегодно полномочия увеличиваются. В 2014 году начал действовать Федеральный закон  «О контрактной системе в сфере закупок товаров, работ, услуг для обеспечения государственных и муниципальных нужд», который наделил контрольно-счетные органы исключительным полномочием – аудит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E80011">
        <w:rPr>
          <w:rFonts w:ascii="Times New Roman" w:hAnsi="Times New Roman" w:cs="Times New Roman"/>
          <w:sz w:val="28"/>
          <w:szCs w:val="28"/>
        </w:rPr>
        <w:t xml:space="preserve">в сфере закупок. Основной целью аудита закупок является оценка эффективности и результативности расходов на закупки. Кроме того, решением Думы района Счетная палата наделена полномочием по контролю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муниципального образования «Колпашевский район». Контроль в сфере закупок является для нас отдельным направлением деятельности, отличным от основных полномочий. </w:t>
      </w:r>
    </w:p>
    <w:p w:rsidR="00692013" w:rsidRPr="00E80011" w:rsidRDefault="00692013" w:rsidP="00692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011">
        <w:rPr>
          <w:rFonts w:ascii="Times New Roman" w:hAnsi="Times New Roman" w:cs="Times New Roman"/>
          <w:sz w:val="28"/>
          <w:szCs w:val="28"/>
        </w:rPr>
        <w:t xml:space="preserve">С 2016 года муниципальные контрольно-счетные органы Томской области наделены полномочием по составлению протоколов об административных правонарушениях при выявлении в ходе мероприятий нарушений бюджетного законодательства, при воспрепятствовании деятельности контрольного органа. </w:t>
      </w:r>
    </w:p>
    <w:p w:rsidR="00692013" w:rsidRPr="00E80011" w:rsidRDefault="00692013" w:rsidP="00692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011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011">
        <w:rPr>
          <w:rFonts w:ascii="Times New Roman" w:hAnsi="Times New Roman" w:cs="Times New Roman"/>
          <w:sz w:val="28"/>
          <w:szCs w:val="28"/>
        </w:rPr>
        <w:t>с 2016 года мы приступили к реализации полномочия по экспертизе проектов муниципальных правовых актов  в части, касающейся расходных обязательств муниципального образования «Колпашевский район», а также муниципальных программ района.</w:t>
      </w:r>
    </w:p>
    <w:p w:rsidR="00692013" w:rsidRPr="00E80011" w:rsidRDefault="00692013" w:rsidP="00692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011">
        <w:rPr>
          <w:rFonts w:ascii="Times New Roman" w:hAnsi="Times New Roman" w:cs="Times New Roman"/>
          <w:sz w:val="28"/>
          <w:szCs w:val="28"/>
        </w:rPr>
        <w:t>Стремимся осуществлять свою деятельность в соответствии с основными принципами работы контрольно-счетного органа – принцип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E80011">
        <w:rPr>
          <w:rFonts w:ascii="Times New Roman" w:hAnsi="Times New Roman" w:cs="Times New Roman"/>
          <w:sz w:val="28"/>
          <w:szCs w:val="28"/>
        </w:rPr>
        <w:t xml:space="preserve"> законности, объективности, независимости и гласности.</w:t>
      </w:r>
    </w:p>
    <w:p w:rsidR="00692013" w:rsidRDefault="00692013" w:rsidP="006920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011">
        <w:rPr>
          <w:rFonts w:ascii="Times New Roman" w:hAnsi="Times New Roman"/>
          <w:sz w:val="28"/>
          <w:szCs w:val="28"/>
        </w:rPr>
        <w:t>В целях реализации принципа гласности создан официальный Интернет-сайт Счетной палаты Колпашевского района,</w:t>
      </w:r>
      <w:r w:rsidRPr="00E80011">
        <w:rPr>
          <w:rFonts w:ascii="Times New Roman" w:hAnsi="Times New Roman" w:cs="Times New Roman"/>
          <w:sz w:val="28"/>
          <w:szCs w:val="28"/>
        </w:rPr>
        <w:t xml:space="preserve"> издаем информационные бюллетени</w:t>
      </w:r>
      <w:r w:rsidRPr="00E80011">
        <w:rPr>
          <w:rFonts w:ascii="Times New Roman" w:hAnsi="Times New Roman"/>
          <w:sz w:val="28"/>
          <w:szCs w:val="28"/>
        </w:rPr>
        <w:t xml:space="preserve">, являющиеся официальным изданием Счетной палаты. Информационный бюллетень подлежит рассылке </w:t>
      </w:r>
      <w:r>
        <w:rPr>
          <w:rFonts w:ascii="Times New Roman" w:hAnsi="Times New Roman"/>
          <w:sz w:val="28"/>
          <w:szCs w:val="28"/>
        </w:rPr>
        <w:t xml:space="preserve">в органы </w:t>
      </w:r>
      <w:r w:rsidRPr="00E80011">
        <w:rPr>
          <w:rFonts w:ascii="Times New Roman" w:hAnsi="Times New Roman"/>
          <w:sz w:val="28"/>
          <w:szCs w:val="28"/>
        </w:rPr>
        <w:t>местного самоуправления Колпашевского района, городск</w:t>
      </w:r>
      <w:r>
        <w:rPr>
          <w:rFonts w:ascii="Times New Roman" w:hAnsi="Times New Roman"/>
          <w:sz w:val="28"/>
          <w:szCs w:val="28"/>
        </w:rPr>
        <w:t>ую</w:t>
      </w:r>
      <w:r w:rsidRPr="00E80011">
        <w:rPr>
          <w:rFonts w:ascii="Times New Roman" w:hAnsi="Times New Roman"/>
          <w:sz w:val="28"/>
          <w:szCs w:val="28"/>
        </w:rPr>
        <w:t xml:space="preserve"> прокуратур</w:t>
      </w:r>
      <w:r>
        <w:rPr>
          <w:rFonts w:ascii="Times New Roman" w:hAnsi="Times New Roman"/>
          <w:sz w:val="28"/>
          <w:szCs w:val="28"/>
        </w:rPr>
        <w:t>у</w:t>
      </w:r>
      <w:r w:rsidRPr="00E80011">
        <w:rPr>
          <w:rFonts w:ascii="Times New Roman" w:hAnsi="Times New Roman"/>
          <w:sz w:val="28"/>
          <w:szCs w:val="28"/>
        </w:rPr>
        <w:t>, с бюллетенями можно ознакомиться в читальном зале центральной библиотеки города.</w:t>
      </w:r>
    </w:p>
    <w:p w:rsidR="00692013" w:rsidRDefault="00692013" w:rsidP="0069201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0011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5E6C">
        <w:rPr>
          <w:rFonts w:ascii="Times New Roman" w:hAnsi="Times New Roman" w:cs="Times New Roman"/>
          <w:b/>
          <w:i/>
          <w:sz w:val="28"/>
          <w:szCs w:val="28"/>
        </w:rPr>
        <w:t>Какова структура контрольно-счетного органа?</w:t>
      </w:r>
    </w:p>
    <w:p w:rsidR="00692013" w:rsidRPr="00B7617D" w:rsidRDefault="00692013" w:rsidP="0069201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E80011">
        <w:rPr>
          <w:rFonts w:ascii="Times New Roman" w:hAnsi="Times New Roman" w:cs="Times New Roman"/>
          <w:sz w:val="28"/>
          <w:szCs w:val="28"/>
        </w:rPr>
        <w:t>Структура состоит из четырех штатных единиц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8001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80011">
        <w:rPr>
          <w:rFonts w:ascii="Times New Roman" w:hAnsi="Times New Roman" w:cs="Times New Roman"/>
          <w:sz w:val="28"/>
          <w:szCs w:val="28"/>
        </w:rPr>
        <w:t xml:space="preserve"> Счетной палаты и </w:t>
      </w:r>
      <w:r>
        <w:rPr>
          <w:rFonts w:ascii="Times New Roman" w:hAnsi="Times New Roman" w:cs="Times New Roman"/>
          <w:sz w:val="28"/>
          <w:szCs w:val="28"/>
        </w:rPr>
        <w:t xml:space="preserve">трех инспекторов, </w:t>
      </w:r>
      <w:r w:rsidRPr="00E80011">
        <w:rPr>
          <w:rFonts w:ascii="Times New Roman" w:hAnsi="Times New Roman" w:cs="Times New Roman"/>
          <w:sz w:val="28"/>
          <w:szCs w:val="28"/>
        </w:rPr>
        <w:t xml:space="preserve">замещающих 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t>и составляющих а</w:t>
      </w:r>
      <w:r w:rsidRPr="00E80011">
        <w:rPr>
          <w:rFonts w:ascii="Times New Roman" w:hAnsi="Times New Roman" w:cs="Times New Roman"/>
          <w:sz w:val="28"/>
          <w:szCs w:val="28"/>
        </w:rPr>
        <w:t>ппарат 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80011">
        <w:rPr>
          <w:rFonts w:ascii="Times New Roman" w:hAnsi="Times New Roman" w:cs="Times New Roman"/>
          <w:sz w:val="28"/>
          <w:szCs w:val="28"/>
        </w:rPr>
        <w:t>С учетом всех полномочий контрольно-счетного органа района штатная численность должна быть 9 единиц</w:t>
      </w:r>
      <w:r>
        <w:rPr>
          <w:rFonts w:ascii="Times New Roman" w:hAnsi="Times New Roman" w:cs="Times New Roman"/>
          <w:sz w:val="28"/>
          <w:szCs w:val="28"/>
        </w:rPr>
        <w:t xml:space="preserve"> – этот </w:t>
      </w:r>
      <w:r w:rsidRPr="00E80011">
        <w:rPr>
          <w:rFonts w:ascii="Times New Roman" w:hAnsi="Times New Roman" w:cs="Times New Roman"/>
          <w:sz w:val="28"/>
          <w:szCs w:val="28"/>
        </w:rPr>
        <w:t xml:space="preserve">расчет произведен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80011">
        <w:rPr>
          <w:rFonts w:ascii="Times New Roman" w:hAnsi="Times New Roman" w:cs="Times New Roman"/>
          <w:sz w:val="28"/>
          <w:szCs w:val="28"/>
        </w:rPr>
        <w:t>методик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80011">
        <w:rPr>
          <w:rFonts w:ascii="Times New Roman" w:hAnsi="Times New Roman" w:cs="Times New Roman"/>
          <w:sz w:val="28"/>
          <w:szCs w:val="28"/>
        </w:rPr>
        <w:t>, утвержденной Союзом МКСО. Несмотря на недостаточность штатной численности, стараемся охватить все направления работы контрольно-счетного органа, отра</w:t>
      </w:r>
      <w:r>
        <w:rPr>
          <w:rFonts w:ascii="Times New Roman" w:hAnsi="Times New Roman" w:cs="Times New Roman"/>
          <w:sz w:val="28"/>
          <w:szCs w:val="28"/>
        </w:rPr>
        <w:t>жать</w:t>
      </w:r>
      <w:r w:rsidRPr="00E80011">
        <w:rPr>
          <w:rFonts w:ascii="Times New Roman" w:hAnsi="Times New Roman" w:cs="Times New Roman"/>
          <w:sz w:val="28"/>
          <w:szCs w:val="28"/>
        </w:rPr>
        <w:t xml:space="preserve"> объективные выводы по результатам наших мероприятий.</w:t>
      </w:r>
    </w:p>
    <w:p w:rsidR="00692013" w:rsidRDefault="00692013" w:rsidP="0069201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355E6C">
        <w:rPr>
          <w:rFonts w:ascii="Times New Roman" w:hAnsi="Times New Roman" w:cs="Times New Roman"/>
          <w:b/>
          <w:i/>
          <w:sz w:val="28"/>
          <w:szCs w:val="28"/>
        </w:rPr>
        <w:t>А кто осуществлял подобную деятельность до Счетной палаты?</w:t>
      </w:r>
    </w:p>
    <w:p w:rsidR="00692013" w:rsidRPr="00B7617D" w:rsidRDefault="00692013" w:rsidP="0069201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E80011">
        <w:rPr>
          <w:rFonts w:ascii="Times New Roman" w:hAnsi="Times New Roman" w:cs="Times New Roman"/>
          <w:sz w:val="28"/>
          <w:szCs w:val="28"/>
        </w:rPr>
        <w:t xml:space="preserve">До этого в муниципальном образовании «Колпашевский район»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Pr="00E80011">
        <w:rPr>
          <w:rFonts w:ascii="Times New Roman" w:hAnsi="Times New Roman" w:cs="Times New Roman"/>
          <w:sz w:val="28"/>
          <w:szCs w:val="28"/>
        </w:rPr>
        <w:t xml:space="preserve"> только внутренний финансовый контроль </w:t>
      </w:r>
      <w:r>
        <w:rPr>
          <w:rFonts w:ascii="Times New Roman" w:hAnsi="Times New Roman" w:cs="Times New Roman"/>
          <w:sz w:val="28"/>
          <w:szCs w:val="28"/>
        </w:rPr>
        <w:t xml:space="preserve">(он </w:t>
      </w:r>
      <w:r w:rsidRPr="00E80011">
        <w:rPr>
          <w:rFonts w:ascii="Times New Roman" w:hAnsi="Times New Roman" w:cs="Times New Roman"/>
          <w:sz w:val="28"/>
          <w:szCs w:val="28"/>
        </w:rPr>
        <w:t>осуществляется и по сегодняшний день)</w:t>
      </w:r>
      <w:r>
        <w:rPr>
          <w:rFonts w:ascii="Times New Roman" w:hAnsi="Times New Roman" w:cs="Times New Roman"/>
          <w:sz w:val="28"/>
          <w:szCs w:val="28"/>
        </w:rPr>
        <w:t>. К</w:t>
      </w:r>
      <w:r w:rsidRPr="00E80011">
        <w:rPr>
          <w:rFonts w:ascii="Times New Roman" w:hAnsi="Times New Roman" w:cs="Times New Roman"/>
          <w:sz w:val="28"/>
          <w:szCs w:val="28"/>
        </w:rPr>
        <w:t>онтрольно-ревизионны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0011">
        <w:rPr>
          <w:rFonts w:ascii="Times New Roman" w:hAnsi="Times New Roman" w:cs="Times New Roman"/>
          <w:sz w:val="28"/>
          <w:szCs w:val="28"/>
        </w:rPr>
        <w:t xml:space="preserve"> отдел Администрации Колпашевского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80011">
        <w:rPr>
          <w:rFonts w:ascii="Times New Roman" w:hAnsi="Times New Roman" w:cs="Times New Roman"/>
          <w:sz w:val="28"/>
          <w:szCs w:val="28"/>
        </w:rPr>
        <w:t>упразднен в начале 2012 года.</w:t>
      </w:r>
    </w:p>
    <w:p w:rsidR="00692013" w:rsidRDefault="00692013" w:rsidP="0069201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355E6C">
        <w:rPr>
          <w:rFonts w:ascii="Times New Roman" w:hAnsi="Times New Roman" w:cs="Times New Roman"/>
          <w:b/>
          <w:i/>
          <w:sz w:val="28"/>
          <w:szCs w:val="28"/>
        </w:rPr>
        <w:t>Как вы думаете, целесообразно ли было созда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ние </w:t>
      </w:r>
      <w:r w:rsidRPr="00355E6C">
        <w:rPr>
          <w:rFonts w:ascii="Times New Roman" w:hAnsi="Times New Roman" w:cs="Times New Roman"/>
          <w:b/>
          <w:i/>
          <w:sz w:val="28"/>
          <w:szCs w:val="28"/>
        </w:rPr>
        <w:t>независим</w:t>
      </w:r>
      <w:r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Pr="00355E6C">
        <w:rPr>
          <w:rFonts w:ascii="Times New Roman" w:hAnsi="Times New Roman" w:cs="Times New Roman"/>
          <w:b/>
          <w:i/>
          <w:sz w:val="28"/>
          <w:szCs w:val="28"/>
        </w:rPr>
        <w:t xml:space="preserve"> к</w:t>
      </w:r>
      <w:r>
        <w:rPr>
          <w:rFonts w:ascii="Times New Roman" w:hAnsi="Times New Roman" w:cs="Times New Roman"/>
          <w:b/>
          <w:i/>
          <w:sz w:val="28"/>
          <w:szCs w:val="28"/>
        </w:rPr>
        <w:t>онтрольно-счетного</w:t>
      </w:r>
      <w:r w:rsidRPr="00355E6C">
        <w:rPr>
          <w:rFonts w:ascii="Times New Roman" w:hAnsi="Times New Roman" w:cs="Times New Roman"/>
          <w:b/>
          <w:i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355E6C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692013" w:rsidRDefault="00692013" w:rsidP="0069201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E80011">
        <w:rPr>
          <w:rFonts w:ascii="Times New Roman" w:hAnsi="Times New Roman" w:cs="Times New Roman"/>
          <w:sz w:val="28"/>
          <w:szCs w:val="28"/>
        </w:rPr>
        <w:t xml:space="preserve">На мой взгляд,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E80011">
        <w:rPr>
          <w:rFonts w:ascii="Times New Roman" w:hAnsi="Times New Roman" w:cs="Times New Roman"/>
          <w:sz w:val="28"/>
          <w:szCs w:val="28"/>
        </w:rPr>
        <w:t xml:space="preserve"> необходим, так как его независимость дает возможность </w:t>
      </w:r>
      <w:r>
        <w:rPr>
          <w:rFonts w:ascii="Times New Roman" w:hAnsi="Times New Roman" w:cs="Times New Roman"/>
          <w:sz w:val="28"/>
          <w:szCs w:val="28"/>
        </w:rPr>
        <w:t>объективно проанализировать все с</w:t>
      </w:r>
      <w:r w:rsidRPr="00E80011">
        <w:rPr>
          <w:rFonts w:ascii="Times New Roman" w:hAnsi="Times New Roman" w:cs="Times New Roman"/>
          <w:sz w:val="28"/>
          <w:szCs w:val="28"/>
        </w:rPr>
        <w:t>фер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80011">
        <w:rPr>
          <w:rFonts w:ascii="Times New Roman" w:hAnsi="Times New Roman" w:cs="Times New Roman"/>
          <w:sz w:val="28"/>
          <w:szCs w:val="28"/>
        </w:rPr>
        <w:t xml:space="preserve"> деятельности органов местного самоуправления. Мы </w:t>
      </w:r>
      <w:r>
        <w:rPr>
          <w:rFonts w:ascii="Times New Roman" w:hAnsi="Times New Roman" w:cs="Times New Roman"/>
          <w:sz w:val="28"/>
          <w:szCs w:val="28"/>
        </w:rPr>
        <w:t xml:space="preserve">делаем </w:t>
      </w:r>
      <w:r w:rsidRPr="00E80011">
        <w:rPr>
          <w:rFonts w:ascii="Times New Roman" w:hAnsi="Times New Roman" w:cs="Times New Roman"/>
          <w:sz w:val="28"/>
          <w:szCs w:val="28"/>
        </w:rPr>
        <w:t xml:space="preserve">выводы беспристрастно, даем время  </w:t>
      </w:r>
      <w:r>
        <w:rPr>
          <w:rFonts w:ascii="Times New Roman" w:hAnsi="Times New Roman" w:cs="Times New Roman"/>
          <w:sz w:val="28"/>
          <w:szCs w:val="28"/>
        </w:rPr>
        <w:t>всем</w:t>
      </w:r>
      <w:r w:rsidRPr="00E80011">
        <w:rPr>
          <w:rFonts w:ascii="Times New Roman" w:hAnsi="Times New Roman" w:cs="Times New Roman"/>
          <w:sz w:val="28"/>
          <w:szCs w:val="28"/>
        </w:rPr>
        <w:t>, 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80011">
        <w:rPr>
          <w:rFonts w:ascii="Times New Roman" w:hAnsi="Times New Roman" w:cs="Times New Roman"/>
          <w:sz w:val="28"/>
          <w:szCs w:val="28"/>
        </w:rPr>
        <w:t xml:space="preserve"> проверили, предоставить возражения на составленные нами акты по результатам мероприятий. Если разногласие обосновано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80011">
        <w:rPr>
          <w:rFonts w:ascii="Times New Roman" w:hAnsi="Times New Roman" w:cs="Times New Roman"/>
          <w:sz w:val="28"/>
          <w:szCs w:val="28"/>
        </w:rPr>
        <w:t xml:space="preserve"> возражение принимае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E80011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Но м</w:t>
      </w:r>
      <w:r w:rsidRPr="00E80011">
        <w:rPr>
          <w:rFonts w:ascii="Times New Roman" w:hAnsi="Times New Roman" w:cs="Times New Roman"/>
          <w:sz w:val="28"/>
          <w:szCs w:val="28"/>
        </w:rPr>
        <w:t>ы не только выявляем нарушения, указываем на недостатки, но и определяем меры, которые необходимо предпринять для их устранения, недопущения в дальнейшей работе.</w:t>
      </w:r>
    </w:p>
    <w:p w:rsidR="00692013" w:rsidRPr="00B7617D" w:rsidRDefault="00692013" w:rsidP="0069201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0011">
        <w:rPr>
          <w:rFonts w:ascii="Times New Roman" w:hAnsi="Times New Roman" w:cs="Times New Roman"/>
          <w:sz w:val="28"/>
          <w:szCs w:val="28"/>
        </w:rPr>
        <w:t>Главная наша цель – не наказать виновных, хотя порой без этого нельзя обойтись, а предупре</w:t>
      </w:r>
      <w:r>
        <w:rPr>
          <w:rFonts w:ascii="Times New Roman" w:hAnsi="Times New Roman" w:cs="Times New Roman"/>
          <w:sz w:val="28"/>
          <w:szCs w:val="28"/>
        </w:rPr>
        <w:t>дить</w:t>
      </w:r>
      <w:r w:rsidRPr="00E80011">
        <w:rPr>
          <w:rFonts w:ascii="Times New Roman" w:hAnsi="Times New Roman" w:cs="Times New Roman"/>
          <w:sz w:val="28"/>
          <w:szCs w:val="28"/>
        </w:rPr>
        <w:t xml:space="preserve"> нарушений бюджетного законодательства. Наша деятельность должна осуществля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80011">
        <w:rPr>
          <w:rFonts w:ascii="Times New Roman" w:hAnsi="Times New Roman" w:cs="Times New Roman"/>
          <w:sz w:val="28"/>
          <w:szCs w:val="28"/>
        </w:rPr>
        <w:t>ся в совместной работе с исполнительными, представительными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, она </w:t>
      </w:r>
      <w:r w:rsidRPr="00E80011">
        <w:rPr>
          <w:rFonts w:ascii="Times New Roman" w:hAnsi="Times New Roman" w:cs="Times New Roman"/>
          <w:sz w:val="28"/>
          <w:szCs w:val="28"/>
        </w:rPr>
        <w:t xml:space="preserve">направлена на совершенствование системы муниципального управления на территории Колпашевского района. </w:t>
      </w:r>
    </w:p>
    <w:p w:rsidR="00692013" w:rsidRDefault="00692013" w:rsidP="00692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011">
        <w:rPr>
          <w:rFonts w:ascii="Times New Roman" w:hAnsi="Times New Roman" w:cs="Times New Roman"/>
          <w:sz w:val="28"/>
          <w:szCs w:val="28"/>
        </w:rPr>
        <w:t>Сказать честно, на первых порах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80011">
        <w:rPr>
          <w:rFonts w:ascii="Times New Roman" w:hAnsi="Times New Roman" w:cs="Times New Roman"/>
          <w:sz w:val="28"/>
          <w:szCs w:val="28"/>
        </w:rPr>
        <w:t xml:space="preserve"> на этапе организации нашей работы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0011">
        <w:rPr>
          <w:rFonts w:ascii="Times New Roman" w:hAnsi="Times New Roman" w:cs="Times New Roman"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E80011">
        <w:rPr>
          <w:rFonts w:ascii="Times New Roman" w:hAnsi="Times New Roman" w:cs="Times New Roman"/>
          <w:sz w:val="28"/>
          <w:szCs w:val="28"/>
        </w:rPr>
        <w:t xml:space="preserve">непросто, приходилось </w:t>
      </w:r>
      <w:r>
        <w:rPr>
          <w:rFonts w:ascii="Times New Roman" w:hAnsi="Times New Roman" w:cs="Times New Roman"/>
          <w:sz w:val="28"/>
          <w:szCs w:val="28"/>
        </w:rPr>
        <w:t xml:space="preserve">разъяснять, </w:t>
      </w:r>
      <w:r w:rsidRPr="00E80011">
        <w:rPr>
          <w:rFonts w:ascii="Times New Roman" w:hAnsi="Times New Roman" w:cs="Times New Roman"/>
          <w:sz w:val="28"/>
          <w:szCs w:val="28"/>
        </w:rPr>
        <w:t>кто мы</w:t>
      </w:r>
      <w:r>
        <w:rPr>
          <w:rFonts w:ascii="Times New Roman" w:hAnsi="Times New Roman" w:cs="Times New Roman"/>
          <w:sz w:val="28"/>
          <w:szCs w:val="28"/>
        </w:rPr>
        <w:t>, для чего мы,  отстаива</w:t>
      </w:r>
      <w:r w:rsidRPr="00E8001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80011">
        <w:rPr>
          <w:rFonts w:ascii="Times New Roman" w:hAnsi="Times New Roman" w:cs="Times New Roman"/>
          <w:sz w:val="28"/>
          <w:szCs w:val="28"/>
        </w:rPr>
        <w:t xml:space="preserve"> свои позиции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80011">
        <w:rPr>
          <w:rFonts w:ascii="Times New Roman" w:hAnsi="Times New Roman" w:cs="Times New Roman"/>
          <w:sz w:val="28"/>
          <w:szCs w:val="28"/>
        </w:rPr>
        <w:t>независимост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8001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E80011">
        <w:rPr>
          <w:rFonts w:ascii="Times New Roman" w:hAnsi="Times New Roman" w:cs="Times New Roman"/>
          <w:sz w:val="28"/>
          <w:szCs w:val="28"/>
        </w:rPr>
        <w:t>можно сказать, что к нам стал</w:t>
      </w:r>
      <w:r>
        <w:rPr>
          <w:rFonts w:ascii="Times New Roman" w:hAnsi="Times New Roman" w:cs="Times New Roman"/>
          <w:sz w:val="28"/>
          <w:szCs w:val="28"/>
        </w:rPr>
        <w:t>и прислушиваться, принимаются</w:t>
      </w:r>
      <w:r w:rsidRPr="00E80011">
        <w:rPr>
          <w:rFonts w:ascii="Times New Roman" w:hAnsi="Times New Roman" w:cs="Times New Roman"/>
          <w:sz w:val="28"/>
          <w:szCs w:val="28"/>
        </w:rPr>
        <w:t xml:space="preserve"> решения с учетом наших выводов, предложений.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80011">
        <w:rPr>
          <w:rFonts w:ascii="Times New Roman" w:hAnsi="Times New Roman" w:cs="Times New Roman"/>
          <w:sz w:val="28"/>
          <w:szCs w:val="28"/>
        </w:rPr>
        <w:t>еобходимость муниципального контрольно-счетного органа поддерживается Главой района и главами поселений.</w:t>
      </w:r>
    </w:p>
    <w:p w:rsidR="00692013" w:rsidRPr="00355E6C" w:rsidRDefault="00692013" w:rsidP="0069201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80011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5E6C">
        <w:rPr>
          <w:rFonts w:ascii="Times New Roman" w:hAnsi="Times New Roman" w:cs="Times New Roman"/>
          <w:b/>
          <w:i/>
          <w:sz w:val="28"/>
          <w:szCs w:val="28"/>
        </w:rPr>
        <w:t xml:space="preserve">А в какой форме осуществляется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ваша </w:t>
      </w:r>
      <w:r w:rsidRPr="00355E6C">
        <w:rPr>
          <w:rFonts w:ascii="Times New Roman" w:hAnsi="Times New Roman" w:cs="Times New Roman"/>
          <w:b/>
          <w:i/>
          <w:sz w:val="28"/>
          <w:szCs w:val="28"/>
        </w:rPr>
        <w:t>деятельность?</w:t>
      </w:r>
    </w:p>
    <w:p w:rsidR="00692013" w:rsidRPr="00E80011" w:rsidRDefault="00692013" w:rsidP="006920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0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80011">
        <w:rPr>
          <w:rFonts w:ascii="Times New Roman" w:hAnsi="Times New Roman" w:cs="Times New Roman"/>
          <w:sz w:val="28"/>
          <w:szCs w:val="28"/>
        </w:rPr>
        <w:t xml:space="preserve"> форме контрольных, экспертно-аналитических и иных мероприятий. </w:t>
      </w:r>
    </w:p>
    <w:p w:rsidR="00692013" w:rsidRDefault="00692013" w:rsidP="0069201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0011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5E6C">
        <w:rPr>
          <w:rFonts w:ascii="Times New Roman" w:hAnsi="Times New Roman" w:cs="Times New Roman"/>
          <w:b/>
          <w:i/>
          <w:sz w:val="28"/>
          <w:szCs w:val="28"/>
        </w:rPr>
        <w:t>Есть ли взаимодействие с другими контролирующими и надзорными структурами?</w:t>
      </w:r>
    </w:p>
    <w:p w:rsidR="00692013" w:rsidRDefault="00692013" w:rsidP="006920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0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011">
        <w:rPr>
          <w:rFonts w:ascii="Times New Roman" w:hAnsi="Times New Roman" w:cs="Times New Roman"/>
          <w:sz w:val="28"/>
          <w:szCs w:val="28"/>
        </w:rPr>
        <w:t>Да</w:t>
      </w:r>
      <w:r w:rsidR="00091788">
        <w:rPr>
          <w:rFonts w:ascii="Times New Roman" w:hAnsi="Times New Roman" w:cs="Times New Roman"/>
          <w:sz w:val="28"/>
          <w:szCs w:val="28"/>
        </w:rPr>
        <w:t>. Н</w:t>
      </w:r>
      <w:r w:rsidRPr="00E80011">
        <w:rPr>
          <w:rFonts w:ascii="Times New Roman" w:hAnsi="Times New Roman" w:cs="Times New Roman"/>
          <w:sz w:val="28"/>
          <w:szCs w:val="28"/>
        </w:rPr>
        <w:t>апример, в 2014 году было заключено соглашение о взаимодействии с Колпашевской городской прокуратурой. По результатам мероприятий мы готовим соответствующее обращение для прокурорского реагирования. По результатам рассмотрения городской прокуратурой вын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8001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ятся</w:t>
      </w:r>
      <w:r w:rsidRPr="00E80011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80011">
        <w:rPr>
          <w:rFonts w:ascii="Times New Roman" w:hAnsi="Times New Roman" w:cs="Times New Roman"/>
          <w:sz w:val="28"/>
          <w:szCs w:val="28"/>
        </w:rPr>
        <w:t xml:space="preserve"> об устранении нарушений, </w:t>
      </w:r>
      <w:r>
        <w:rPr>
          <w:rFonts w:ascii="Times New Roman" w:hAnsi="Times New Roman" w:cs="Times New Roman"/>
          <w:sz w:val="28"/>
          <w:szCs w:val="28"/>
        </w:rPr>
        <w:t xml:space="preserve">подготавливаются </w:t>
      </w:r>
      <w:r w:rsidRPr="00E80011">
        <w:rPr>
          <w:rFonts w:ascii="Times New Roman" w:hAnsi="Times New Roman" w:cs="Times New Roman"/>
          <w:sz w:val="28"/>
          <w:szCs w:val="28"/>
        </w:rPr>
        <w:t>протест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80011">
        <w:rPr>
          <w:rFonts w:ascii="Times New Roman" w:hAnsi="Times New Roman" w:cs="Times New Roman"/>
          <w:sz w:val="28"/>
          <w:szCs w:val="28"/>
        </w:rPr>
        <w:t xml:space="preserve"> на муниципальны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80011"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E80011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ы.</w:t>
      </w:r>
      <w:r w:rsidRPr="00E80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013" w:rsidRDefault="00692013" w:rsidP="006920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011">
        <w:rPr>
          <w:rFonts w:ascii="Times New Roman" w:hAnsi="Times New Roman" w:cs="Times New Roman"/>
          <w:sz w:val="28"/>
          <w:szCs w:val="28"/>
        </w:rPr>
        <w:t xml:space="preserve">Заключено соглашение </w:t>
      </w:r>
      <w:r w:rsidRPr="00E80011">
        <w:rPr>
          <w:rFonts w:ascii="Times New Roman" w:hAnsi="Times New Roman"/>
          <w:bCs/>
          <w:sz w:val="28"/>
          <w:szCs w:val="28"/>
        </w:rPr>
        <w:t>о сотрудничестве и взаимодействии с Контрольно-счетной палатой Томской области. Основными направлениями сотрудничества являются планирование и проведение совместных мероприятий; обмен опытом; оказание правовой, методической и иной помощи. Первый опыт взаимодействия с региональным контрольно-счетным органом у нас был в 2013 году при проведении проверки использования бюджетных средств на строительство автомобильной дороги в городском поселении.</w:t>
      </w:r>
    </w:p>
    <w:p w:rsidR="00692013" w:rsidRPr="00B7617D" w:rsidRDefault="00692013" w:rsidP="006920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011">
        <w:rPr>
          <w:rFonts w:ascii="Times New Roman" w:hAnsi="Times New Roman"/>
          <w:bCs/>
          <w:sz w:val="28"/>
          <w:szCs w:val="28"/>
        </w:rPr>
        <w:t>Счетная палата района является членом Союза муниципальных контрольно-счетных органов России и Совета контрольно-счетных органов Томской области</w:t>
      </w:r>
      <w:r w:rsidR="00EA023E">
        <w:rPr>
          <w:rFonts w:ascii="Times New Roman" w:hAnsi="Times New Roman"/>
          <w:bCs/>
          <w:sz w:val="28"/>
          <w:szCs w:val="28"/>
        </w:rPr>
        <w:t xml:space="preserve">, что способствует </w:t>
      </w:r>
      <w:r w:rsidRPr="00E80011">
        <w:rPr>
          <w:rFonts w:ascii="Times New Roman" w:hAnsi="Times New Roman"/>
          <w:sz w:val="28"/>
          <w:szCs w:val="28"/>
        </w:rPr>
        <w:t>укреплени</w:t>
      </w:r>
      <w:r w:rsidR="00EA023E">
        <w:rPr>
          <w:rFonts w:ascii="Times New Roman" w:hAnsi="Times New Roman"/>
          <w:sz w:val="28"/>
          <w:szCs w:val="28"/>
        </w:rPr>
        <w:t>ю</w:t>
      </w:r>
      <w:r w:rsidRPr="00E80011">
        <w:rPr>
          <w:rFonts w:ascii="Times New Roman" w:hAnsi="Times New Roman"/>
          <w:sz w:val="28"/>
          <w:szCs w:val="28"/>
        </w:rPr>
        <w:t xml:space="preserve"> взаимодействия контрольно-счетных органов</w:t>
      </w:r>
      <w:r w:rsidR="00EA023E">
        <w:rPr>
          <w:rFonts w:ascii="Times New Roman" w:hAnsi="Times New Roman"/>
          <w:sz w:val="28"/>
          <w:szCs w:val="28"/>
        </w:rPr>
        <w:t>,  повышению</w:t>
      </w:r>
      <w:r w:rsidRPr="00E80011">
        <w:rPr>
          <w:rFonts w:ascii="Times New Roman" w:hAnsi="Times New Roman"/>
          <w:sz w:val="28"/>
          <w:szCs w:val="28"/>
        </w:rPr>
        <w:t xml:space="preserve"> эффективности финансового контроля. Следует отметить положительную оценку нашей деятельности профессиональным сообществом, так Счетная палата входит в состав президиума Совета </w:t>
      </w:r>
      <w:r w:rsidRPr="00E80011">
        <w:rPr>
          <w:rFonts w:ascii="Times New Roman" w:hAnsi="Times New Roman"/>
          <w:bCs/>
          <w:sz w:val="28"/>
          <w:szCs w:val="28"/>
        </w:rPr>
        <w:t>контрольно-счетных органов Томской области, представляет Сибирский федеральный округ в учебно-методической комиссии Союза муниципальных контрольно-счетных органов России.</w:t>
      </w:r>
      <w:r w:rsidRPr="00E80011">
        <w:rPr>
          <w:rFonts w:ascii="Times New Roman" w:hAnsi="Times New Roman"/>
          <w:sz w:val="28"/>
          <w:szCs w:val="28"/>
        </w:rPr>
        <w:t xml:space="preserve"> </w:t>
      </w:r>
    </w:p>
    <w:p w:rsidR="00692013" w:rsidRPr="00E80011" w:rsidRDefault="00692013" w:rsidP="00692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011">
        <w:rPr>
          <w:rFonts w:ascii="Times New Roman" w:hAnsi="Times New Roman" w:cs="Times New Roman"/>
          <w:sz w:val="28"/>
          <w:szCs w:val="28"/>
        </w:rPr>
        <w:t xml:space="preserve">В </w:t>
      </w:r>
      <w:r w:rsidR="00EA023E">
        <w:rPr>
          <w:rFonts w:ascii="Times New Roman" w:hAnsi="Times New Roman" w:cs="Times New Roman"/>
          <w:sz w:val="28"/>
          <w:szCs w:val="28"/>
        </w:rPr>
        <w:t xml:space="preserve">наших </w:t>
      </w:r>
      <w:r w:rsidRPr="00E80011">
        <w:rPr>
          <w:rFonts w:ascii="Times New Roman" w:hAnsi="Times New Roman" w:cs="Times New Roman"/>
          <w:sz w:val="28"/>
          <w:szCs w:val="28"/>
        </w:rPr>
        <w:t xml:space="preserve">планах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0011">
        <w:rPr>
          <w:rFonts w:ascii="Times New Roman" w:hAnsi="Times New Roman" w:cs="Times New Roman"/>
          <w:sz w:val="28"/>
          <w:szCs w:val="28"/>
        </w:rPr>
        <w:t>взаимодействие с другими правоохранительными органами</w:t>
      </w:r>
      <w:r>
        <w:rPr>
          <w:rFonts w:ascii="Times New Roman" w:hAnsi="Times New Roman" w:cs="Times New Roman"/>
          <w:sz w:val="28"/>
          <w:szCs w:val="28"/>
        </w:rPr>
        <w:t xml:space="preserve">: готовимся к </w:t>
      </w:r>
      <w:r w:rsidRPr="00E80011">
        <w:rPr>
          <w:rFonts w:ascii="Times New Roman" w:hAnsi="Times New Roman" w:cs="Times New Roman"/>
          <w:sz w:val="28"/>
          <w:szCs w:val="28"/>
        </w:rPr>
        <w:t>заключ</w:t>
      </w:r>
      <w:r>
        <w:rPr>
          <w:rFonts w:ascii="Times New Roman" w:hAnsi="Times New Roman" w:cs="Times New Roman"/>
          <w:sz w:val="28"/>
          <w:szCs w:val="28"/>
        </w:rPr>
        <w:t xml:space="preserve">ению </w:t>
      </w:r>
      <w:r w:rsidRPr="00E80011">
        <w:rPr>
          <w:rFonts w:ascii="Times New Roman" w:hAnsi="Times New Roman" w:cs="Times New Roman"/>
          <w:sz w:val="28"/>
          <w:szCs w:val="28"/>
        </w:rPr>
        <w:t>соглашени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0011">
        <w:rPr>
          <w:rFonts w:ascii="Times New Roman" w:hAnsi="Times New Roman" w:cs="Times New Roman"/>
          <w:sz w:val="28"/>
          <w:szCs w:val="28"/>
        </w:rPr>
        <w:t xml:space="preserve"> с органами внутреннего финансового контроля, ведомственного контроля в сфере закупок.</w:t>
      </w:r>
    </w:p>
    <w:p w:rsidR="00692013" w:rsidRDefault="00692013" w:rsidP="0069201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5E6C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55E6C">
        <w:rPr>
          <w:rFonts w:ascii="Times New Roman" w:hAnsi="Times New Roman" w:cs="Times New Roman"/>
          <w:b/>
          <w:i/>
          <w:sz w:val="28"/>
          <w:szCs w:val="28"/>
        </w:rPr>
        <w:t>Какие мероприятия были осуществлены в прошлом году</w:t>
      </w:r>
      <w:r>
        <w:rPr>
          <w:rFonts w:ascii="Times New Roman" w:hAnsi="Times New Roman" w:cs="Times New Roman"/>
          <w:b/>
          <w:i/>
          <w:sz w:val="28"/>
          <w:szCs w:val="28"/>
        </w:rPr>
        <w:t>, к</w:t>
      </w:r>
      <w:r w:rsidRPr="00355E6C">
        <w:rPr>
          <w:rFonts w:ascii="Times New Roman" w:hAnsi="Times New Roman" w:cs="Times New Roman"/>
          <w:b/>
          <w:i/>
          <w:sz w:val="28"/>
          <w:szCs w:val="28"/>
        </w:rPr>
        <w:t>акие проводятся сейчас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355E6C">
        <w:rPr>
          <w:rFonts w:ascii="Times New Roman" w:hAnsi="Times New Roman" w:cs="Times New Roman"/>
          <w:b/>
          <w:i/>
          <w:sz w:val="28"/>
          <w:szCs w:val="28"/>
        </w:rPr>
        <w:t xml:space="preserve">какие планируются? </w:t>
      </w:r>
    </w:p>
    <w:p w:rsidR="00692013" w:rsidRPr="00696B33" w:rsidRDefault="00692013" w:rsidP="0069201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2015 году нами проведено 6 контрольных и 32 экспертно-аналитических мероприятий. </w:t>
      </w:r>
      <w:r w:rsidRPr="00E80011">
        <w:rPr>
          <w:rFonts w:ascii="Times New Roman" w:hAnsi="Times New Roman" w:cs="Times New Roman"/>
          <w:sz w:val="28"/>
          <w:szCs w:val="28"/>
        </w:rPr>
        <w:t xml:space="preserve">Приоритетным направлением деятельности в 2015 году для нас стало исполнение поручений Совета Колпашевского городского поселения, утвержденных для Счетной палаты в рамках соглашения о передаче полномочий контрольно-счетного органа поселения.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80011">
        <w:rPr>
          <w:rFonts w:ascii="Times New Roman" w:hAnsi="Times New Roman" w:cs="Times New Roman"/>
          <w:sz w:val="28"/>
          <w:szCs w:val="28"/>
        </w:rPr>
        <w:t xml:space="preserve">прошедшем году проведены комплексные проверки деятельности организаций, учредителем которых выступает городское поселение - МУКП «Спецавтохозяйство» и ООО «Ритуал».  По результатам контрольных мероприятий этими организациями возвращено в бюджет муниципального образования «Колпашевское городское поселение» 580 тыс. рублей, в том числе использованных по нецелевому назначению. Всего по результатам наших контрольных мероприятий, начиная с 2012 года, возмещено средств в местные бюджеты </w:t>
      </w:r>
      <w:r>
        <w:rPr>
          <w:rFonts w:ascii="Times New Roman" w:hAnsi="Times New Roman" w:cs="Times New Roman"/>
          <w:sz w:val="28"/>
          <w:szCs w:val="28"/>
        </w:rPr>
        <w:t>около</w:t>
      </w:r>
      <w:r w:rsidRPr="00E80011">
        <w:rPr>
          <w:rFonts w:ascii="Times New Roman" w:hAnsi="Times New Roman" w:cs="Times New Roman"/>
          <w:sz w:val="28"/>
          <w:szCs w:val="28"/>
        </w:rPr>
        <w:t xml:space="preserve"> 630 тыс. рублей. Мало это или много</w:t>
      </w:r>
      <w:r>
        <w:rPr>
          <w:rFonts w:ascii="Times New Roman" w:hAnsi="Times New Roman" w:cs="Times New Roman"/>
          <w:sz w:val="28"/>
          <w:szCs w:val="28"/>
        </w:rPr>
        <w:t xml:space="preserve">? Немало, </w:t>
      </w:r>
      <w:r w:rsidRPr="00E80011">
        <w:rPr>
          <w:rFonts w:ascii="Times New Roman" w:hAnsi="Times New Roman" w:cs="Times New Roman"/>
          <w:sz w:val="28"/>
          <w:szCs w:val="28"/>
        </w:rPr>
        <w:t xml:space="preserve"> ведь это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0011">
        <w:rPr>
          <w:rFonts w:ascii="Times New Roman" w:hAnsi="Times New Roman" w:cs="Times New Roman"/>
          <w:sz w:val="28"/>
          <w:szCs w:val="28"/>
        </w:rPr>
        <w:t xml:space="preserve">средства местного бюджета, </w:t>
      </w:r>
      <w:r>
        <w:rPr>
          <w:rFonts w:ascii="Times New Roman" w:hAnsi="Times New Roman" w:cs="Times New Roman"/>
          <w:sz w:val="28"/>
          <w:szCs w:val="28"/>
        </w:rPr>
        <w:t>который постоянно испытывает нед</w:t>
      </w:r>
      <w:r w:rsidRPr="00E80011">
        <w:rPr>
          <w:rFonts w:ascii="Times New Roman" w:hAnsi="Times New Roman" w:cs="Times New Roman"/>
          <w:sz w:val="28"/>
          <w:szCs w:val="28"/>
        </w:rPr>
        <w:t>остато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80011">
        <w:rPr>
          <w:rFonts w:ascii="Times New Roman" w:hAnsi="Times New Roman" w:cs="Times New Roman"/>
          <w:sz w:val="28"/>
          <w:szCs w:val="28"/>
        </w:rPr>
        <w:t xml:space="preserve"> финансовых ресурсов для решения вопросов местного значения. </w:t>
      </w:r>
    </w:p>
    <w:p w:rsidR="00692013" w:rsidRPr="00E80011" w:rsidRDefault="00692013" w:rsidP="00692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011">
        <w:rPr>
          <w:rFonts w:ascii="Times New Roman" w:hAnsi="Times New Roman" w:cs="Times New Roman"/>
          <w:sz w:val="28"/>
          <w:szCs w:val="28"/>
        </w:rPr>
        <w:t>Кроме того, Счетной палатой в прошедшем году выявлялись случаи и неэффективного использования бюджетных средств, в том числе в рамках проводимого аудита закупок, сумма нарушений составила 3 млн. 300 тыс. рублей. Что значит неэффективное использование</w:t>
      </w:r>
      <w:r>
        <w:rPr>
          <w:rFonts w:ascii="Times New Roman" w:hAnsi="Times New Roman" w:cs="Times New Roman"/>
          <w:sz w:val="28"/>
          <w:szCs w:val="28"/>
        </w:rPr>
        <w:t>? П</w:t>
      </w:r>
      <w:r w:rsidRPr="00E80011">
        <w:rPr>
          <w:rFonts w:ascii="Times New Roman" w:hAnsi="Times New Roman" w:cs="Times New Roman"/>
          <w:sz w:val="28"/>
          <w:szCs w:val="28"/>
        </w:rPr>
        <w:t>отратили больше, чем могли бы потратить или использовали средства бюджета без достижения заданного результата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80011">
        <w:rPr>
          <w:rFonts w:ascii="Times New Roman" w:hAnsi="Times New Roman" w:cs="Times New Roman"/>
          <w:sz w:val="28"/>
          <w:szCs w:val="28"/>
        </w:rPr>
        <w:t>к примеру, выполнены работы по строительству с нарушением строительных норм и правил, что повлияло на качество работ. К сожалению, случаи неэффективного использования бюджетных средств нередк</w:t>
      </w:r>
      <w:r>
        <w:rPr>
          <w:rFonts w:ascii="Times New Roman" w:hAnsi="Times New Roman" w:cs="Times New Roman"/>
          <w:sz w:val="28"/>
          <w:szCs w:val="28"/>
        </w:rPr>
        <w:t>и, но выявляемые нами нарушения и</w:t>
      </w:r>
      <w:r w:rsidRPr="00E80011">
        <w:rPr>
          <w:rFonts w:ascii="Times New Roman" w:hAnsi="Times New Roman" w:cs="Times New Roman"/>
          <w:sz w:val="28"/>
          <w:szCs w:val="28"/>
        </w:rPr>
        <w:t xml:space="preserve"> недостатки </w:t>
      </w:r>
      <w:r>
        <w:rPr>
          <w:rFonts w:ascii="Times New Roman" w:hAnsi="Times New Roman" w:cs="Times New Roman"/>
          <w:sz w:val="28"/>
          <w:szCs w:val="28"/>
        </w:rPr>
        <w:t xml:space="preserve">указывают на </w:t>
      </w:r>
      <w:r w:rsidRPr="00E80011">
        <w:rPr>
          <w:rFonts w:ascii="Times New Roman" w:hAnsi="Times New Roman" w:cs="Times New Roman"/>
          <w:sz w:val="28"/>
          <w:szCs w:val="28"/>
        </w:rPr>
        <w:t xml:space="preserve"> использование бюджетных ресурсов с нарушениями бюджетного законодательства, </w:t>
      </w:r>
      <w:r>
        <w:rPr>
          <w:rFonts w:ascii="Times New Roman" w:hAnsi="Times New Roman" w:cs="Times New Roman"/>
          <w:sz w:val="28"/>
          <w:szCs w:val="28"/>
        </w:rPr>
        <w:t xml:space="preserve">помогают </w:t>
      </w:r>
      <w:r w:rsidRPr="00E80011">
        <w:rPr>
          <w:rFonts w:ascii="Times New Roman" w:hAnsi="Times New Roman" w:cs="Times New Roman"/>
          <w:sz w:val="28"/>
          <w:szCs w:val="28"/>
        </w:rPr>
        <w:t>не допустить их в дальнейшем.</w:t>
      </w:r>
    </w:p>
    <w:p w:rsidR="00692013" w:rsidRDefault="00692013" w:rsidP="00692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011">
        <w:rPr>
          <w:rFonts w:ascii="Times New Roman" w:hAnsi="Times New Roman" w:cs="Times New Roman"/>
          <w:sz w:val="28"/>
          <w:szCs w:val="28"/>
        </w:rPr>
        <w:t xml:space="preserve"> Ответственность при использовании бюджетных ресурсов должна быть очень высокой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80011">
        <w:rPr>
          <w:rFonts w:ascii="Times New Roman" w:hAnsi="Times New Roman" w:cs="Times New Roman"/>
          <w:sz w:val="28"/>
          <w:szCs w:val="28"/>
        </w:rPr>
        <w:t>здесь без применения мер воздействия к виновным должностным лицам не обойтись. Во исполнение наших представлений виновные привлекаются к дисциплинарной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80011">
        <w:rPr>
          <w:rFonts w:ascii="Times New Roman" w:hAnsi="Times New Roman" w:cs="Times New Roman"/>
          <w:sz w:val="28"/>
          <w:szCs w:val="28"/>
        </w:rPr>
        <w:t>в 2013 году глава одного из поселений привлечен региональной антимонопольной службой к административной ответственности в виде штрафа за нарушение антимонопольного законодательства при распоряжении муниципальной собственностью. По результатам одного из контрольных мероприятий, проведенного в 2015 году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80011">
        <w:rPr>
          <w:rFonts w:ascii="Times New Roman" w:hAnsi="Times New Roman" w:cs="Times New Roman"/>
          <w:sz w:val="28"/>
          <w:szCs w:val="28"/>
        </w:rPr>
        <w:t>одно должностное лицо было уволено.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80011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80011">
        <w:rPr>
          <w:rFonts w:ascii="Times New Roman" w:hAnsi="Times New Roman" w:cs="Times New Roman"/>
          <w:sz w:val="28"/>
          <w:szCs w:val="28"/>
        </w:rPr>
        <w:t xml:space="preserve"> о фактах нарушений законодательства Российской Федерации в городскую прокуратуру по результатам четырех мероприятий, проведенных Счетной палатой в прошлом году.</w:t>
      </w:r>
      <w:r>
        <w:rPr>
          <w:rFonts w:ascii="Times New Roman" w:hAnsi="Times New Roman" w:cs="Times New Roman"/>
          <w:sz w:val="28"/>
          <w:szCs w:val="28"/>
        </w:rPr>
        <w:t xml:space="preserve"> Материалы наших проверок направляем и в Управление антимонопольной службы по Томской области.</w:t>
      </w:r>
      <w:r w:rsidRPr="00E800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этом году</w:t>
      </w:r>
      <w:r w:rsidRPr="00E80011">
        <w:rPr>
          <w:rFonts w:ascii="Times New Roman" w:hAnsi="Times New Roman" w:cs="Times New Roman"/>
          <w:sz w:val="28"/>
          <w:szCs w:val="28"/>
        </w:rPr>
        <w:t xml:space="preserve"> запланировано 10 контрольных и 26 экспертно-аналитических мероприятий, помимо этого отдельным планом предусмотрено проведение трех проверок в рамках исполнения полномочия по контролю в сфере закупок. </w:t>
      </w:r>
    </w:p>
    <w:p w:rsidR="00692013" w:rsidRPr="00E80011" w:rsidRDefault="00692013" w:rsidP="00692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011">
        <w:rPr>
          <w:rFonts w:ascii="Times New Roman" w:hAnsi="Times New Roman" w:cs="Times New Roman"/>
          <w:sz w:val="28"/>
          <w:szCs w:val="28"/>
        </w:rPr>
        <w:t xml:space="preserve">Сейчас оформляются материалы по проведенным контрольным мероприятиям: анализ деятельности учреждения дополнительного образования детей, в том числе на предмет ее эффективности и проверка </w:t>
      </w:r>
      <w:r w:rsidRPr="00E80011">
        <w:rPr>
          <w:rFonts w:ascii="Times New Roman" w:hAnsi="Times New Roman"/>
          <w:sz w:val="28"/>
          <w:szCs w:val="28"/>
        </w:rPr>
        <w:t>правомерного и эффективного использования средств субсидии, предоставленных общеобразовательному учреждению в рамках расчетов по оплате труда в 2015 году</w:t>
      </w:r>
      <w:r w:rsidRPr="00E80011">
        <w:rPr>
          <w:rFonts w:ascii="Times New Roman" w:hAnsi="Times New Roman" w:cs="Times New Roman"/>
          <w:sz w:val="28"/>
          <w:szCs w:val="28"/>
        </w:rPr>
        <w:t xml:space="preserve">.  С начала года проводится контрольное мероприятие, перешедшее с прошлого года, по проверке целевого и эффективного использования бюджетных средств на ремонт, содержание автомобильных дорог Колпашевского городского поселения в 2015 году (к сожалению, из-за большой трудовой загруженности инспекторов Счетной палаты проведение мероприятия </w:t>
      </w:r>
      <w:r>
        <w:rPr>
          <w:rFonts w:ascii="Times New Roman" w:hAnsi="Times New Roman" w:cs="Times New Roman"/>
          <w:sz w:val="28"/>
          <w:szCs w:val="28"/>
        </w:rPr>
        <w:t>пока</w:t>
      </w:r>
      <w:r w:rsidRPr="00E80011">
        <w:rPr>
          <w:rFonts w:ascii="Times New Roman" w:hAnsi="Times New Roman" w:cs="Times New Roman"/>
          <w:sz w:val="28"/>
          <w:szCs w:val="28"/>
        </w:rPr>
        <w:t xml:space="preserve"> приостановлено). Кроме этого, осуществляется проведение подготовительных этапов контрольных мероприятий еще в трех образовательных учреждениях района.</w:t>
      </w:r>
    </w:p>
    <w:p w:rsidR="00692013" w:rsidRPr="00E80011" w:rsidRDefault="00692013" w:rsidP="00692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80011">
        <w:rPr>
          <w:rFonts w:ascii="Times New Roman" w:hAnsi="Times New Roman" w:cs="Times New Roman"/>
          <w:sz w:val="28"/>
          <w:szCs w:val="28"/>
        </w:rPr>
        <w:t xml:space="preserve">ачинаем внешние проверки годовых отчетов об исполнении бюджетов девяти поселений и муниципального района за 2015 год.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0011">
        <w:rPr>
          <w:rFonts w:ascii="Times New Roman" w:hAnsi="Times New Roman" w:cs="Times New Roman"/>
          <w:sz w:val="28"/>
          <w:szCs w:val="28"/>
        </w:rPr>
        <w:t>ероприятие обширно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80011">
        <w:rPr>
          <w:rFonts w:ascii="Times New Roman" w:hAnsi="Times New Roman" w:cs="Times New Roman"/>
          <w:sz w:val="28"/>
          <w:szCs w:val="28"/>
        </w:rPr>
        <w:t xml:space="preserve"> по своему содержанию и включает в себя проверку бюджетной отчетности за отчетный год главных администраторов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на предмет ее достоверности (</w:t>
      </w:r>
      <w:r w:rsidRPr="00E80011">
        <w:rPr>
          <w:rFonts w:ascii="Times New Roman" w:hAnsi="Times New Roman" w:cs="Times New Roman"/>
          <w:sz w:val="28"/>
          <w:szCs w:val="28"/>
        </w:rPr>
        <w:t xml:space="preserve">количество администраторов бюджетных средств на территории района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80011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8001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92013" w:rsidRPr="00E80011" w:rsidRDefault="00692013" w:rsidP="00692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011">
        <w:rPr>
          <w:rFonts w:ascii="Times New Roman" w:hAnsi="Times New Roman" w:cs="Times New Roman"/>
          <w:sz w:val="28"/>
          <w:szCs w:val="28"/>
        </w:rPr>
        <w:t xml:space="preserve">Находятся на экспертизе два муниципальных правовых акта, в том числе </w:t>
      </w:r>
      <w:r w:rsidR="00EA023E">
        <w:rPr>
          <w:rFonts w:ascii="Times New Roman" w:hAnsi="Times New Roman" w:cs="Times New Roman"/>
          <w:sz w:val="28"/>
          <w:szCs w:val="28"/>
        </w:rPr>
        <w:t xml:space="preserve">- </w:t>
      </w:r>
      <w:r w:rsidRPr="00E80011">
        <w:rPr>
          <w:rFonts w:ascii="Times New Roman" w:hAnsi="Times New Roman" w:cs="Times New Roman"/>
          <w:sz w:val="28"/>
          <w:szCs w:val="28"/>
        </w:rPr>
        <w:t>проект муниципальной программы района.</w:t>
      </w:r>
      <w:r w:rsidR="00EA023E">
        <w:rPr>
          <w:rFonts w:ascii="Times New Roman" w:hAnsi="Times New Roman" w:cs="Times New Roman"/>
          <w:sz w:val="28"/>
          <w:szCs w:val="28"/>
        </w:rPr>
        <w:t xml:space="preserve"> </w:t>
      </w:r>
      <w:r w:rsidRPr="00E80011">
        <w:rPr>
          <w:rFonts w:ascii="Times New Roman" w:hAnsi="Times New Roman" w:cs="Times New Roman"/>
          <w:sz w:val="28"/>
          <w:szCs w:val="28"/>
        </w:rPr>
        <w:t>Идет работа по подготовке к реализации полномочи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0011">
        <w:rPr>
          <w:rFonts w:ascii="Times New Roman" w:hAnsi="Times New Roman" w:cs="Times New Roman"/>
          <w:sz w:val="28"/>
          <w:szCs w:val="28"/>
        </w:rPr>
        <w:t xml:space="preserve"> по составлению протоколов об административных правонарушениях.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E80011">
        <w:rPr>
          <w:rFonts w:ascii="Times New Roman" w:hAnsi="Times New Roman" w:cs="Times New Roman"/>
          <w:sz w:val="28"/>
          <w:szCs w:val="28"/>
        </w:rPr>
        <w:t>аботы много, скучать не приходится.</w:t>
      </w:r>
    </w:p>
    <w:p w:rsidR="00692013" w:rsidRDefault="00692013" w:rsidP="0069201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55E6C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55E6C">
        <w:rPr>
          <w:rFonts w:ascii="Times New Roman" w:hAnsi="Times New Roman" w:cs="Times New Roman"/>
          <w:b/>
          <w:i/>
          <w:sz w:val="28"/>
          <w:szCs w:val="28"/>
        </w:rPr>
        <w:t>А рядовые граждане обращаются к вам?</w:t>
      </w:r>
    </w:p>
    <w:p w:rsidR="00692013" w:rsidRDefault="00692013" w:rsidP="00EA023E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E80011">
        <w:rPr>
          <w:rFonts w:ascii="Times New Roman" w:hAnsi="Times New Roman" w:cs="Times New Roman"/>
          <w:sz w:val="28"/>
          <w:szCs w:val="28"/>
        </w:rPr>
        <w:t xml:space="preserve">В 2013 году в ходе личного приема граждан к нам </w:t>
      </w:r>
      <w:r>
        <w:rPr>
          <w:rFonts w:ascii="Times New Roman" w:hAnsi="Times New Roman" w:cs="Times New Roman"/>
          <w:sz w:val="28"/>
          <w:szCs w:val="28"/>
        </w:rPr>
        <w:t>поступ</w:t>
      </w:r>
      <w:r w:rsidR="00EA02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Pr="00E80011">
        <w:rPr>
          <w:rFonts w:ascii="Times New Roman" w:hAnsi="Times New Roman"/>
          <w:sz w:val="28"/>
          <w:szCs w:val="28"/>
        </w:rPr>
        <w:t xml:space="preserve">заявления о нарушениях действующего законодательства при проведении капитального ремонта многоквартирных домов в городском поселении в 2012 году. </w:t>
      </w:r>
      <w:r>
        <w:rPr>
          <w:rFonts w:ascii="Times New Roman" w:hAnsi="Times New Roman"/>
          <w:sz w:val="28"/>
          <w:szCs w:val="28"/>
        </w:rPr>
        <w:t xml:space="preserve">Мы </w:t>
      </w:r>
      <w:r w:rsidRPr="00E80011">
        <w:rPr>
          <w:rFonts w:ascii="Times New Roman" w:hAnsi="Times New Roman"/>
          <w:sz w:val="28"/>
          <w:szCs w:val="28"/>
        </w:rPr>
        <w:t>приня</w:t>
      </w:r>
      <w:r>
        <w:rPr>
          <w:rFonts w:ascii="Times New Roman" w:hAnsi="Times New Roman"/>
          <w:sz w:val="28"/>
          <w:szCs w:val="28"/>
        </w:rPr>
        <w:t>ли</w:t>
      </w:r>
      <w:r w:rsidRPr="00E80011">
        <w:rPr>
          <w:rFonts w:ascii="Times New Roman" w:hAnsi="Times New Roman"/>
          <w:sz w:val="28"/>
          <w:szCs w:val="28"/>
        </w:rPr>
        <w:t xml:space="preserve"> решение о включении конкретного контрольного мероприятия в план работы Счетной палаты на 2014 год. Была проведена большая работа, мероприятие длилось около полугода. В 2015 году контрольное мероприятия завершено, выявлены многочисленные нарушения и недостатки, но на сегодняшний день мероприятие так и не снято с контроля в связи с неисполнением предложений Счетной палаты по устранению нарушений.</w:t>
      </w:r>
    </w:p>
    <w:p w:rsidR="00692013" w:rsidRPr="004B67A1" w:rsidRDefault="00692013" w:rsidP="00EA023E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0011">
        <w:rPr>
          <w:rFonts w:ascii="Times New Roman" w:hAnsi="Times New Roman" w:cs="Times New Roman"/>
          <w:sz w:val="28"/>
          <w:szCs w:val="28"/>
        </w:rPr>
        <w:t>Были и в последующие годы обращения граждан, в пределах нашей компетенции реагируем, принимаем возможные меры по устранению нарушений законодательства, если факты подтверждаются.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E80011">
        <w:rPr>
          <w:rFonts w:ascii="Times New Roman" w:hAnsi="Times New Roman" w:cs="Times New Roman"/>
          <w:sz w:val="28"/>
          <w:szCs w:val="28"/>
        </w:rPr>
        <w:t xml:space="preserve">а нашем сайте можно ознакомиться с результатами мероприятий, </w:t>
      </w:r>
      <w:r>
        <w:rPr>
          <w:rFonts w:ascii="Times New Roman" w:hAnsi="Times New Roman" w:cs="Times New Roman"/>
          <w:sz w:val="28"/>
          <w:szCs w:val="28"/>
        </w:rPr>
        <w:t xml:space="preserve">там же всегда </w:t>
      </w:r>
      <w:r w:rsidRPr="00E80011"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 xml:space="preserve">оставить обращение, предложение или задать вопрос. </w:t>
      </w:r>
      <w:r w:rsidRPr="00E80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013" w:rsidRPr="00EA023E" w:rsidRDefault="00692013" w:rsidP="0069201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A023E">
        <w:rPr>
          <w:rFonts w:ascii="Times New Roman" w:hAnsi="Times New Roman" w:cs="Times New Roman"/>
          <w:b/>
          <w:i/>
          <w:sz w:val="28"/>
          <w:szCs w:val="28"/>
        </w:rPr>
        <w:t>- Андрей Владимирович, благодарю за содержательную беседу.</w:t>
      </w:r>
    </w:p>
    <w:p w:rsidR="00692013" w:rsidRDefault="00692013" w:rsidP="006920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4D30" w:rsidRPr="007478A8" w:rsidRDefault="00964D30" w:rsidP="00EA023E">
      <w:pPr>
        <w:pStyle w:val="a5"/>
        <w:numPr>
          <w:ilvl w:val="0"/>
          <w:numId w:val="5"/>
        </w:numPr>
        <w:spacing w:before="100" w:beforeAutospacing="1" w:after="375" w:line="240" w:lineRule="auto"/>
        <w:ind w:left="1077" w:hanging="357"/>
        <w:jc w:val="both"/>
        <w:outlineLvl w:val="0"/>
        <w:rPr>
          <w:rFonts w:ascii="PTSansBold" w:eastAsia="Times New Roman" w:hAnsi="PTSansBold" w:cs="Times New Roman"/>
          <w:b/>
          <w:color w:val="000000"/>
          <w:kern w:val="36"/>
          <w:sz w:val="28"/>
          <w:szCs w:val="28"/>
          <w:lang w:eastAsia="ru-RU"/>
        </w:rPr>
      </w:pPr>
      <w:r w:rsidRPr="007478A8">
        <w:rPr>
          <w:rFonts w:ascii="PTSansBold" w:eastAsia="Times New Roman" w:hAnsi="PTSansBold" w:cs="Times New Roman"/>
          <w:b/>
          <w:color w:val="000000"/>
          <w:kern w:val="36"/>
          <w:sz w:val="28"/>
          <w:szCs w:val="28"/>
          <w:lang w:eastAsia="ru-RU"/>
        </w:rPr>
        <w:t>Счетная палата совместно с региональными контрольно-счетными органами приступила к проверке доступности услуг в сфере соцобслуживания населения</w:t>
      </w:r>
    </w:p>
    <w:p w:rsidR="00964D30" w:rsidRPr="005E4798" w:rsidRDefault="00964D30" w:rsidP="00964D30">
      <w:pPr>
        <w:spacing w:after="0" w:line="270" w:lineRule="atLeast"/>
        <w:rPr>
          <w:rFonts w:ascii="PTSans" w:eastAsia="Times New Roman" w:hAnsi="PTSans" w:cs="Times New Roman"/>
          <w:color w:val="666666"/>
          <w:sz w:val="20"/>
          <w:szCs w:val="20"/>
          <w:lang w:eastAsia="ru-RU"/>
        </w:rPr>
      </w:pPr>
      <w:r>
        <w:rPr>
          <w:rFonts w:ascii="PTSans" w:eastAsia="Times New Roman" w:hAnsi="PTSans" w:cs="Times New Roman"/>
          <w:noProof/>
          <w:color w:val="666666"/>
          <w:sz w:val="20"/>
          <w:szCs w:val="20"/>
          <w:lang w:eastAsia="ru-RU"/>
        </w:rPr>
        <w:drawing>
          <wp:inline distT="0" distB="0" distL="0" distR="0" wp14:anchorId="287CA76D" wp14:editId="512FD3D8">
            <wp:extent cx="5845817" cy="3907262"/>
            <wp:effectExtent l="0" t="0" r="2540" b="0"/>
            <wp:docPr id="1" name="Рисунок 1" descr="http://www.ach.gov.ru/upload/iblock/a2c/a2c518c0b7071895c85fb6379493c1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ch.gov.ru/upload/iblock/a2c/a2c518c0b7071895c85fb6379493c15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553" cy="39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D30" w:rsidRPr="00F4404B" w:rsidRDefault="00964D30" w:rsidP="00964D30">
      <w:pPr>
        <w:spacing w:before="100" w:beforeAutospacing="1" w:after="330" w:line="270" w:lineRule="atLeast"/>
        <w:jc w:val="both"/>
        <w:rPr>
          <w:rFonts w:ascii="PTSans" w:eastAsia="Times New Roman" w:hAnsi="PTSans" w:cs="Times New Roman"/>
          <w:sz w:val="24"/>
          <w:szCs w:val="24"/>
          <w:lang w:eastAsia="ru-RU"/>
        </w:rPr>
      </w:pPr>
      <w:r w:rsidRPr="00F4404B">
        <w:rPr>
          <w:rFonts w:ascii="PTSans" w:eastAsia="Times New Roman" w:hAnsi="PTSans" w:cs="Times New Roman"/>
          <w:sz w:val="24"/>
          <w:szCs w:val="24"/>
          <w:lang w:eastAsia="ru-RU"/>
        </w:rPr>
        <w:t>Аудитор Счетной палаты Российской Федерации Владимир Катренко провел видеоконференцию с региональными контрольно-счетными органами в преддверии совместной проверки доступности услуг в сфере социального обслуживания граждан в России</w:t>
      </w:r>
      <w:hyperlink r:id="rId13" w:anchor="1" w:history="1">
        <w:r w:rsidRPr="00F4404B">
          <w:rPr>
            <w:rFonts w:ascii="PTSans" w:eastAsia="Times New Roman" w:hAnsi="PTSans" w:cs="Times New Roman"/>
            <w:sz w:val="24"/>
            <w:szCs w:val="24"/>
            <w:u w:val="single"/>
            <w:vertAlign w:val="superscript"/>
            <w:lang w:eastAsia="ru-RU"/>
          </w:rPr>
          <w:t>1</w:t>
        </w:r>
      </w:hyperlink>
      <w:r w:rsidRPr="00F4404B">
        <w:rPr>
          <w:rFonts w:ascii="PTSans" w:eastAsia="Times New Roman" w:hAnsi="PTSans" w:cs="Times New Roman"/>
          <w:sz w:val="24"/>
          <w:szCs w:val="24"/>
          <w:lang w:eastAsia="ru-RU"/>
        </w:rPr>
        <w:t xml:space="preserve"> за период 2013-2015 годов. Проверка пройдет в марте-июле 2016 года. </w:t>
      </w:r>
    </w:p>
    <w:p w:rsidR="00964D30" w:rsidRPr="00F4404B" w:rsidRDefault="00964D30" w:rsidP="00964D30">
      <w:pPr>
        <w:spacing w:before="100" w:beforeAutospacing="1" w:after="330" w:line="270" w:lineRule="atLeast"/>
        <w:jc w:val="both"/>
        <w:rPr>
          <w:rFonts w:ascii="PTSans" w:eastAsia="Times New Roman" w:hAnsi="PTSans" w:cs="Times New Roman"/>
          <w:sz w:val="24"/>
          <w:szCs w:val="24"/>
          <w:lang w:eastAsia="ru-RU"/>
        </w:rPr>
      </w:pPr>
      <w:r w:rsidRPr="00F4404B">
        <w:rPr>
          <w:rFonts w:ascii="PTSans" w:eastAsia="Times New Roman" w:hAnsi="PTSans" w:cs="Times New Roman"/>
          <w:sz w:val="24"/>
          <w:szCs w:val="24"/>
          <w:lang w:eastAsia="ru-RU"/>
        </w:rPr>
        <w:t>В видеоконференции приняли участие представители 37 контрольно-счетных органов регионов, а также Минсоцтруда Самарской области.</w:t>
      </w:r>
    </w:p>
    <w:p w:rsidR="00964D30" w:rsidRPr="00F4404B" w:rsidRDefault="00964D30" w:rsidP="00964D30">
      <w:pPr>
        <w:spacing w:before="100" w:beforeAutospacing="1" w:after="330" w:line="270" w:lineRule="atLeast"/>
        <w:jc w:val="both"/>
        <w:rPr>
          <w:rFonts w:ascii="PTSans" w:eastAsia="Times New Roman" w:hAnsi="PTSans" w:cs="Times New Roman"/>
          <w:sz w:val="24"/>
          <w:szCs w:val="24"/>
          <w:lang w:eastAsia="ru-RU"/>
        </w:rPr>
      </w:pPr>
      <w:r w:rsidRPr="00F4404B">
        <w:rPr>
          <w:rFonts w:ascii="PTSans" w:eastAsia="Times New Roman" w:hAnsi="PTSans" w:cs="Times New Roman"/>
          <w:sz w:val="24"/>
          <w:szCs w:val="24"/>
          <w:lang w:eastAsia="ru-RU"/>
        </w:rPr>
        <w:t xml:space="preserve">Владимир Катренко обратил внимание участников конференции на особое значение предстоящей совместной проверки в сфере социального обслуживания населения, направленной на реализацию задач, предусмотренных Указом Президента Российской Федерации от 7 мая 2012 г. №597 «О мероприятиях по реализации государственной социальной политики», а также последующими поручениями Президента Российской Федерации. </w:t>
      </w:r>
    </w:p>
    <w:p w:rsidR="00964D30" w:rsidRPr="00F4404B" w:rsidRDefault="00964D30" w:rsidP="00964D30">
      <w:pPr>
        <w:spacing w:before="100" w:beforeAutospacing="1" w:after="330" w:line="270" w:lineRule="atLeast"/>
        <w:jc w:val="both"/>
        <w:rPr>
          <w:rFonts w:ascii="PTSans" w:eastAsia="Times New Roman" w:hAnsi="PTSans" w:cs="Times New Roman"/>
          <w:sz w:val="24"/>
          <w:szCs w:val="24"/>
          <w:lang w:eastAsia="ru-RU"/>
        </w:rPr>
      </w:pPr>
      <w:r w:rsidRPr="00F4404B">
        <w:rPr>
          <w:rFonts w:ascii="PTSans" w:eastAsia="Times New Roman" w:hAnsi="PTSans" w:cs="Times New Roman"/>
          <w:sz w:val="24"/>
          <w:szCs w:val="24"/>
          <w:lang w:eastAsia="ru-RU"/>
        </w:rPr>
        <w:t>В соответствии с задачами Указа №597 Минтрудом России утверждена «дорожная карта» «Повышение эффективности и качества услуг в сфере социального обслуживания населения (2013-2018 годы)». В регионах разработаны и утверждены аналогичные региональные «дорожные карты». Аудитор отметил, что Минтрудом России со всеми регионами заключены Соглашения о достижении в 2013-2018 гг. целевых показателей оптимизации сети государственных организаций социального обслуживания. По сути мероприятия «дорожных карт» направлены на повышение доступности социального обслуживания для россиян.</w:t>
      </w:r>
    </w:p>
    <w:p w:rsidR="00964D30" w:rsidRPr="00F4404B" w:rsidRDefault="00964D30" w:rsidP="00964D30">
      <w:pPr>
        <w:spacing w:before="100" w:beforeAutospacing="1" w:after="330" w:line="270" w:lineRule="atLeast"/>
        <w:jc w:val="both"/>
        <w:rPr>
          <w:rFonts w:ascii="PTSans" w:eastAsia="Times New Roman" w:hAnsi="PTSans" w:cs="Times New Roman"/>
          <w:sz w:val="24"/>
          <w:szCs w:val="24"/>
          <w:lang w:eastAsia="ru-RU"/>
        </w:rPr>
      </w:pPr>
      <w:r w:rsidRPr="00F4404B">
        <w:rPr>
          <w:rFonts w:ascii="PTSans" w:eastAsia="Times New Roman" w:hAnsi="PTSans" w:cs="Times New Roman"/>
          <w:sz w:val="24"/>
          <w:szCs w:val="24"/>
          <w:lang w:eastAsia="ru-RU"/>
        </w:rPr>
        <w:t>Основными ожидаемыми результатами реализации «дорожных карт» должно стать формирование эффективной организационной структуры сети и штатной численности организаций социального обслуживания населения, а также доведение к 2018 году средней заработной платы соцработников до уровня не ниже 100% средней заработной платы в соответствующем регионе.</w:t>
      </w:r>
    </w:p>
    <w:p w:rsidR="00964D30" w:rsidRPr="00F4404B" w:rsidRDefault="00964D30" w:rsidP="00964D30">
      <w:pPr>
        <w:spacing w:before="100" w:beforeAutospacing="1" w:after="330" w:line="270" w:lineRule="atLeast"/>
        <w:jc w:val="both"/>
        <w:rPr>
          <w:rFonts w:ascii="PTSans" w:eastAsia="Times New Roman" w:hAnsi="PTSans" w:cs="Times New Roman"/>
          <w:sz w:val="24"/>
          <w:szCs w:val="24"/>
          <w:lang w:eastAsia="ru-RU"/>
        </w:rPr>
      </w:pPr>
      <w:r w:rsidRPr="00F4404B">
        <w:rPr>
          <w:rFonts w:ascii="PTSans" w:eastAsia="Times New Roman" w:hAnsi="PTSans" w:cs="Times New Roman"/>
          <w:sz w:val="24"/>
          <w:szCs w:val="24"/>
          <w:lang w:eastAsia="ru-RU"/>
        </w:rPr>
        <w:t xml:space="preserve">Аудитор сообщил, что на начало 2015 года в России насчитывалось более 3,8 тыс. организаций социального обслуживания населения, в которых получали услуги более 15,8 млн. человек. Численность работников, занятых в системе, в 2014 году составила 555,6 тыс. человек. При этом в стационарах получали соцуслуги более 269 тыс. пожилых людей и инвалидов, в полустационарах - более 2,2 млн. человек. На дому соцуслуги получали более 1,2 млн. человек. </w:t>
      </w:r>
    </w:p>
    <w:p w:rsidR="00964D30" w:rsidRPr="00F4404B" w:rsidRDefault="00964D30" w:rsidP="00964D30">
      <w:pPr>
        <w:spacing w:before="100" w:beforeAutospacing="1" w:after="330" w:line="270" w:lineRule="atLeast"/>
        <w:jc w:val="both"/>
        <w:rPr>
          <w:rFonts w:ascii="PTSans" w:eastAsia="Times New Roman" w:hAnsi="PTSans" w:cs="Times New Roman"/>
          <w:sz w:val="24"/>
          <w:szCs w:val="24"/>
          <w:lang w:eastAsia="ru-RU"/>
        </w:rPr>
      </w:pPr>
      <w:r w:rsidRPr="00F4404B">
        <w:rPr>
          <w:rFonts w:ascii="PTSans" w:eastAsia="Times New Roman" w:hAnsi="PTSans" w:cs="Times New Roman"/>
          <w:sz w:val="24"/>
          <w:szCs w:val="24"/>
          <w:lang w:eastAsia="ru-RU"/>
        </w:rPr>
        <w:t>В тоже время, аудитор отметил, что оптимизация в социальной сфере, проводимая с 2013 года привела к сокращению числа организаций социального обслуживания и численности соцработников. «</w:t>
      </w:r>
      <w:r w:rsidRPr="00F4404B">
        <w:rPr>
          <w:rFonts w:ascii="PTSansItalic" w:eastAsia="Times New Roman" w:hAnsi="PTSansItalic" w:cs="Times New Roman"/>
          <w:i/>
          <w:iCs/>
          <w:sz w:val="24"/>
          <w:szCs w:val="24"/>
          <w:lang w:eastAsia="ru-RU"/>
        </w:rPr>
        <w:t>Так называемые «оптимизационные мероприятия» привели к сокращению числа государственных организаций социального обслуживания за 2013-2014 гг. на 110 единиц. За 2014 год численность работников в целом сократилась на 53 219 человек или на 3,3%, численность социальных работников, то есть именно тех, кто непосредственно оказывает социальные услуги – на 9 351 человек или на 6,4%. При этом численность получателей соцуслуг увеличилась на 892,8 тыс. человек или на 6% . В результате нагрузка на одного соцработника возросла с 8 человек в 2013 году до более чем 9 человек в 2014 году. А к 2018 году планируется, что один социальный работник будет предоставлять услуги 10,7 человек, то есть на 33,5% по сравнению с 2013 годом</w:t>
      </w:r>
      <w:r w:rsidRPr="00F4404B">
        <w:rPr>
          <w:rFonts w:ascii="PTSans" w:eastAsia="Times New Roman" w:hAnsi="PTSans" w:cs="Times New Roman"/>
          <w:sz w:val="24"/>
          <w:szCs w:val="24"/>
          <w:lang w:eastAsia="ru-RU"/>
        </w:rPr>
        <w:t xml:space="preserve">», - сказал аудитор. </w:t>
      </w:r>
    </w:p>
    <w:p w:rsidR="00964D30" w:rsidRPr="00F4404B" w:rsidRDefault="00964D30" w:rsidP="00964D30">
      <w:pPr>
        <w:spacing w:before="100" w:beforeAutospacing="1" w:after="330" w:line="270" w:lineRule="atLeast"/>
        <w:jc w:val="both"/>
        <w:rPr>
          <w:rFonts w:ascii="PTSans" w:eastAsia="Times New Roman" w:hAnsi="PTSans" w:cs="Times New Roman"/>
          <w:sz w:val="24"/>
          <w:szCs w:val="24"/>
          <w:lang w:eastAsia="ru-RU"/>
        </w:rPr>
      </w:pPr>
      <w:r w:rsidRPr="00F4404B">
        <w:rPr>
          <w:rFonts w:ascii="PTSans" w:eastAsia="Times New Roman" w:hAnsi="PTSans" w:cs="Times New Roman"/>
          <w:sz w:val="24"/>
          <w:szCs w:val="24"/>
          <w:lang w:eastAsia="ru-RU"/>
        </w:rPr>
        <w:t xml:space="preserve">При этом очередь на получение соцуслуг в стационарных условиях стабильно сохраняется на уровне 16 тыс. человек, из которых почти 44% граждан ожидают возможности получения социального обслуживания более одного года. Для сокращения этой очереди требуется прирост числа мест в стационарные учреждения на 8–10%. </w:t>
      </w:r>
    </w:p>
    <w:p w:rsidR="00964D30" w:rsidRPr="00F4404B" w:rsidRDefault="00964D30" w:rsidP="00964D30">
      <w:pPr>
        <w:spacing w:before="100" w:beforeAutospacing="1" w:after="330" w:line="270" w:lineRule="atLeast"/>
        <w:jc w:val="both"/>
        <w:rPr>
          <w:rFonts w:ascii="PTSans" w:eastAsia="Times New Roman" w:hAnsi="PTSans" w:cs="Times New Roman"/>
          <w:sz w:val="24"/>
          <w:szCs w:val="24"/>
          <w:lang w:eastAsia="ru-RU"/>
        </w:rPr>
      </w:pPr>
      <w:r w:rsidRPr="00F4404B">
        <w:rPr>
          <w:rFonts w:ascii="PTSans" w:eastAsia="Times New Roman" w:hAnsi="PTSans" w:cs="Times New Roman"/>
          <w:sz w:val="24"/>
          <w:szCs w:val="24"/>
          <w:lang w:eastAsia="ru-RU"/>
        </w:rPr>
        <w:t>На видеоконференции особо отмечалось, что учитывая демографическую ситуацию и старение населения, потребность в социальном обслуживании, особенно в надомном, будет возрастать. По прогнозным оценкам к 2018 году она вырастет по сравнению с 2014 годом на 24%. Даже если численность соцработников останется на прежнем уровне, доступность и качество предоставляемого надомного обслуживания существенно снизятся. Особенно пострадают пожилые люди, инвалиды и семьи с детьми, в том числе детьми-инвалидами, проживающие в сельской местности в отдаленных населенных пунктах.</w:t>
      </w:r>
    </w:p>
    <w:p w:rsidR="00964D30" w:rsidRPr="00F4404B" w:rsidRDefault="00964D30" w:rsidP="00964D30">
      <w:pPr>
        <w:spacing w:before="100" w:beforeAutospacing="1" w:after="330" w:line="270" w:lineRule="atLeast"/>
        <w:jc w:val="both"/>
        <w:rPr>
          <w:rFonts w:ascii="PTSans" w:eastAsia="Times New Roman" w:hAnsi="PTSans" w:cs="Times New Roman"/>
          <w:sz w:val="24"/>
          <w:szCs w:val="24"/>
          <w:lang w:eastAsia="ru-RU"/>
        </w:rPr>
      </w:pPr>
      <w:r w:rsidRPr="00F4404B">
        <w:rPr>
          <w:rFonts w:ascii="PTSans" w:eastAsia="Times New Roman" w:hAnsi="PTSans" w:cs="Times New Roman"/>
          <w:sz w:val="24"/>
          <w:szCs w:val="24"/>
          <w:lang w:eastAsia="ru-RU"/>
        </w:rPr>
        <w:t>Вместе с тем, Президент России В.В. Путин на заседании Комиссии по мониторингу достижения целевых показателей социально-экономического развития, которое состоялось в 2015 году, указал на недопустимость снижения доступности социальных услуг для населения и дал ряд поручений, направленных на обеспечение такой доступности.</w:t>
      </w:r>
    </w:p>
    <w:p w:rsidR="00964D30" w:rsidRPr="00F4404B" w:rsidRDefault="00964D30" w:rsidP="00964D30">
      <w:pPr>
        <w:spacing w:before="100" w:beforeAutospacing="1" w:after="330" w:line="270" w:lineRule="atLeast"/>
        <w:jc w:val="both"/>
        <w:rPr>
          <w:rFonts w:ascii="PTSans" w:eastAsia="Times New Roman" w:hAnsi="PTSans" w:cs="Times New Roman"/>
          <w:sz w:val="24"/>
          <w:szCs w:val="24"/>
          <w:lang w:eastAsia="ru-RU"/>
        </w:rPr>
      </w:pPr>
      <w:r w:rsidRPr="00F4404B">
        <w:rPr>
          <w:rFonts w:ascii="PTSans" w:eastAsia="Times New Roman" w:hAnsi="PTSans" w:cs="Times New Roman"/>
          <w:sz w:val="24"/>
          <w:szCs w:val="24"/>
          <w:lang w:eastAsia="ru-RU"/>
        </w:rPr>
        <w:t xml:space="preserve">В ходе обсуждения на селекторном совещании подчеркивалось, что доступность социальных услуг должна обеспечиваться, в первую очередь, наличием организаций соцобслуживания и специалистов, оказывающих данные услуги, прозрачной процедурой установления потребности в социальном обслуживании, временем ожидания получения услуги. </w:t>
      </w:r>
    </w:p>
    <w:p w:rsidR="00964D30" w:rsidRPr="00F4404B" w:rsidRDefault="00964D30" w:rsidP="00964D30">
      <w:pPr>
        <w:spacing w:before="100" w:beforeAutospacing="1" w:after="330" w:line="270" w:lineRule="atLeast"/>
        <w:jc w:val="both"/>
        <w:rPr>
          <w:rFonts w:ascii="PTSans" w:eastAsia="Times New Roman" w:hAnsi="PTSans" w:cs="Times New Roman"/>
          <w:sz w:val="24"/>
          <w:szCs w:val="24"/>
          <w:lang w:eastAsia="ru-RU"/>
        </w:rPr>
      </w:pPr>
      <w:r w:rsidRPr="00F4404B">
        <w:rPr>
          <w:rFonts w:ascii="PTSans" w:eastAsia="Times New Roman" w:hAnsi="PTSans" w:cs="Times New Roman"/>
          <w:sz w:val="24"/>
          <w:szCs w:val="24"/>
          <w:lang w:eastAsia="ru-RU"/>
        </w:rPr>
        <w:t xml:space="preserve">Одним из факторов повышения доступности соцобслуживания является активная реализация норм федерального закона «Об основах социального обслуживания граждан Российской Федерации». </w:t>
      </w:r>
    </w:p>
    <w:p w:rsidR="00964D30" w:rsidRPr="00F4404B" w:rsidRDefault="00964D30" w:rsidP="00964D30">
      <w:pPr>
        <w:spacing w:before="100" w:beforeAutospacing="1" w:after="330" w:line="270" w:lineRule="atLeast"/>
        <w:jc w:val="both"/>
        <w:rPr>
          <w:rFonts w:ascii="PTSans" w:eastAsia="Times New Roman" w:hAnsi="PTSans" w:cs="Times New Roman"/>
          <w:sz w:val="24"/>
          <w:szCs w:val="24"/>
          <w:lang w:eastAsia="ru-RU"/>
        </w:rPr>
      </w:pPr>
      <w:r w:rsidRPr="00F4404B">
        <w:rPr>
          <w:rFonts w:ascii="PTSans" w:eastAsia="Times New Roman" w:hAnsi="PTSans" w:cs="Times New Roman"/>
          <w:sz w:val="24"/>
          <w:szCs w:val="24"/>
          <w:lang w:eastAsia="ru-RU"/>
        </w:rPr>
        <w:t xml:space="preserve">По итогам обсуждения были сформулированы рекомендации для региональных контрольно-счетных органов, которые целесообразно учитывать при проведении предстоящей совместной проверки. </w:t>
      </w:r>
    </w:p>
    <w:p w:rsidR="00964D30" w:rsidRPr="00F4404B" w:rsidRDefault="00964D30" w:rsidP="00964D30">
      <w:pPr>
        <w:spacing w:before="100" w:beforeAutospacing="1" w:after="330" w:line="270" w:lineRule="atLeast"/>
        <w:jc w:val="both"/>
        <w:rPr>
          <w:rFonts w:ascii="PTSans" w:eastAsia="Times New Roman" w:hAnsi="PTSans" w:cs="Times New Roman"/>
          <w:sz w:val="24"/>
          <w:szCs w:val="24"/>
          <w:lang w:eastAsia="ru-RU"/>
        </w:rPr>
      </w:pPr>
      <w:r w:rsidRPr="00F4404B">
        <w:rPr>
          <w:rFonts w:ascii="PTSans" w:eastAsia="Times New Roman" w:hAnsi="PTSans" w:cs="Times New Roman"/>
          <w:sz w:val="24"/>
          <w:szCs w:val="24"/>
          <w:lang w:eastAsia="ru-RU"/>
        </w:rPr>
        <w:t xml:space="preserve">По словам аудитора, необходимо уделить внимание оценке территориальной доступности организаций соцобслуживания для получателей услуг, условиям для оказания соцуслуг инвалидам, а также доступности информации о социальном обслуживании. </w:t>
      </w:r>
    </w:p>
    <w:p w:rsidR="00964D30" w:rsidRPr="00F4404B" w:rsidRDefault="00964D30" w:rsidP="00964D30">
      <w:pPr>
        <w:spacing w:before="100" w:beforeAutospacing="1" w:after="330" w:line="270" w:lineRule="atLeast"/>
        <w:jc w:val="both"/>
        <w:rPr>
          <w:rFonts w:ascii="PTSans" w:eastAsia="Times New Roman" w:hAnsi="PTSans" w:cs="Times New Roman"/>
          <w:sz w:val="24"/>
          <w:szCs w:val="24"/>
          <w:lang w:eastAsia="ru-RU"/>
        </w:rPr>
      </w:pPr>
      <w:r w:rsidRPr="00F4404B">
        <w:rPr>
          <w:rFonts w:ascii="PTSans" w:eastAsia="Times New Roman" w:hAnsi="PTSans" w:cs="Times New Roman"/>
          <w:sz w:val="24"/>
          <w:szCs w:val="24"/>
          <w:lang w:eastAsia="ru-RU"/>
        </w:rPr>
        <w:t xml:space="preserve">Акцент должен быть сделан на оценку уровня развития мобильных служб, предоставляющих соцуслуги гражданам, проживающим в отдаленных населенных пунктах. При этом при проверке физической доступности услуг - должен проводиться анализ очередности граждан, нуждающихся в соцобслуживании. </w:t>
      </w:r>
    </w:p>
    <w:p w:rsidR="00964D30" w:rsidRPr="00F4404B" w:rsidRDefault="00964D30" w:rsidP="00964D30">
      <w:pPr>
        <w:spacing w:before="100" w:beforeAutospacing="1" w:after="330" w:line="270" w:lineRule="atLeast"/>
        <w:jc w:val="both"/>
        <w:rPr>
          <w:rFonts w:ascii="PTSans" w:eastAsia="Times New Roman" w:hAnsi="PTSans" w:cs="Times New Roman"/>
          <w:sz w:val="24"/>
          <w:szCs w:val="24"/>
          <w:lang w:eastAsia="ru-RU"/>
        </w:rPr>
      </w:pPr>
      <w:r w:rsidRPr="00F4404B">
        <w:rPr>
          <w:rFonts w:ascii="PTSans" w:eastAsia="Times New Roman" w:hAnsi="PTSans" w:cs="Times New Roman"/>
          <w:sz w:val="24"/>
          <w:szCs w:val="24"/>
          <w:lang w:eastAsia="ru-RU"/>
        </w:rPr>
        <w:t xml:space="preserve">Аудитор подчеркнул, что следует проанализировать эффективность и результативность использования бюджетных ассигнований, направляемых в сферу соцобслуживания населения. Учитывая, что стоимость предоставления соцуслуг на дому в расчете на одного человека составляет в среднем по России 26,1 тыс. рублей в год, а в стационарных условиях – 193,5 тыс. рублей в год, то есть в 7,4 раза больше, при анализе уровня доступности соцуслуг необходимо оценить расширение предоставления услуг на дому и внедрение стационарозамещающих технологий. </w:t>
      </w:r>
    </w:p>
    <w:p w:rsidR="00964D30" w:rsidRPr="00F4404B" w:rsidRDefault="00964D30" w:rsidP="00964D30">
      <w:pPr>
        <w:spacing w:before="100" w:beforeAutospacing="1" w:after="330" w:line="270" w:lineRule="atLeast"/>
        <w:jc w:val="both"/>
        <w:rPr>
          <w:rFonts w:ascii="PTSans" w:eastAsia="Times New Roman" w:hAnsi="PTSans" w:cs="Times New Roman"/>
          <w:sz w:val="24"/>
          <w:szCs w:val="24"/>
          <w:lang w:eastAsia="ru-RU"/>
        </w:rPr>
      </w:pPr>
      <w:r w:rsidRPr="00F4404B">
        <w:rPr>
          <w:rFonts w:ascii="PTSans" w:eastAsia="Times New Roman" w:hAnsi="PTSans" w:cs="Times New Roman"/>
          <w:sz w:val="24"/>
          <w:szCs w:val="24"/>
          <w:lang w:eastAsia="ru-RU"/>
        </w:rPr>
        <w:t>При анализе выполнения показателей региональных «дорожных карт» следует провести оценку эффективности проводимых в 2013-2015 годах оптимизационных мероприятий и объемов финансовых ресурсов, высвобождаемых в связи с их проведением. При этом необходимо учитывать, что достижение показателя повышения заработной платы социальных работников осложняется наличием значительных рисков в связи с ухудшением социально-экономической ситуации в отдельных регионах, сокращением доходной части их бюджета, снижением уровня жизни наиболее уязвимых категорий граждан (инвалиды, пожилые граждане, неполные и многодетные семьи с детьми). Все это может значительно увеличить расходные обязательства региональных бюджетов в сфере социального обслуживания. В ходе контрольного мероприятия следует оценить имеющиеся риски достижения показателей, определенных в «дорожной карте».</w:t>
      </w:r>
    </w:p>
    <w:p w:rsidR="00964D30" w:rsidRPr="00F4404B" w:rsidRDefault="00964D30" w:rsidP="00964D30">
      <w:pPr>
        <w:spacing w:before="100" w:beforeAutospacing="1" w:after="330" w:line="270" w:lineRule="atLeast"/>
        <w:jc w:val="both"/>
        <w:rPr>
          <w:rFonts w:ascii="PTSans" w:eastAsia="Times New Roman" w:hAnsi="PTSans" w:cs="Times New Roman"/>
          <w:sz w:val="24"/>
          <w:szCs w:val="24"/>
          <w:lang w:eastAsia="ru-RU"/>
        </w:rPr>
      </w:pPr>
      <w:r w:rsidRPr="00F4404B">
        <w:rPr>
          <w:rFonts w:ascii="PTSans" w:eastAsia="Times New Roman" w:hAnsi="PTSans" w:cs="Times New Roman"/>
          <w:sz w:val="24"/>
          <w:szCs w:val="24"/>
          <w:lang w:eastAsia="ru-RU"/>
        </w:rPr>
        <w:t>Важно учитывать, что в «дорожных картах» предусмотрена устойчивая тенденция наращивания объема платных услуг, что должно обеспечить существенный вклад в повышение заработной платы социальных работников. В ходе контрольного мероприятия следует оценить выполнение в регионах установленных показателей доли доходов от платных услуг в фонде заработной платы соцработников, имея ввиду, что в 2014 году они должны были составить не менее 1,9%, в 2015 году – 2,3%, в 2016 году – 2,6%, в 2017 году – 2,8%, в 2018 году – 2,9%, а также их влияние на доступность предоставления услуг.</w:t>
      </w:r>
    </w:p>
    <w:p w:rsidR="00964D30" w:rsidRPr="00F4404B" w:rsidRDefault="00964D30" w:rsidP="00964D30">
      <w:pPr>
        <w:spacing w:before="100" w:beforeAutospacing="1" w:after="330" w:line="270" w:lineRule="atLeast"/>
        <w:jc w:val="both"/>
        <w:rPr>
          <w:rFonts w:ascii="PTSans" w:eastAsia="Times New Roman" w:hAnsi="PTSans" w:cs="Times New Roman"/>
          <w:sz w:val="24"/>
          <w:szCs w:val="24"/>
          <w:lang w:eastAsia="ru-RU"/>
        </w:rPr>
      </w:pPr>
      <w:r w:rsidRPr="00F4404B">
        <w:rPr>
          <w:rFonts w:ascii="PTSans" w:eastAsia="Times New Roman" w:hAnsi="PTSans" w:cs="Times New Roman"/>
          <w:sz w:val="24"/>
          <w:szCs w:val="24"/>
          <w:lang w:eastAsia="ru-RU"/>
        </w:rPr>
        <w:t xml:space="preserve">По словам Владимира Катренко, первостепенное внимание необходимо уделить оценке использования средств, предусмотренных федеральным бюджетом в 2014-2015 годах для дотации регионам на частичную компенсацию дополнительных расходов на повышение оплаты труда работников бюджетной сферы. </w:t>
      </w:r>
    </w:p>
    <w:p w:rsidR="00964D30" w:rsidRPr="00F4404B" w:rsidRDefault="00964D30" w:rsidP="00964D30">
      <w:pPr>
        <w:spacing w:before="100" w:beforeAutospacing="1" w:after="330" w:line="270" w:lineRule="atLeast"/>
        <w:jc w:val="both"/>
        <w:rPr>
          <w:rFonts w:ascii="PTSans" w:eastAsia="Times New Roman" w:hAnsi="PTSans" w:cs="Times New Roman"/>
          <w:sz w:val="24"/>
          <w:szCs w:val="24"/>
          <w:lang w:eastAsia="ru-RU"/>
        </w:rPr>
      </w:pPr>
      <w:r w:rsidRPr="00F4404B">
        <w:rPr>
          <w:rFonts w:ascii="PTSans" w:eastAsia="Times New Roman" w:hAnsi="PTSans" w:cs="Times New Roman"/>
          <w:sz w:val="24"/>
          <w:szCs w:val="24"/>
          <w:lang w:eastAsia="ru-RU"/>
        </w:rPr>
        <w:t>При проверке информационной доступности социального обслуживания нужно учитывать полноту и качество информации о поставщиках социальных услуг, представленной в реестре поставщиков социальных услуг на официальных сайтах региональных органов исполнительной власти в сети «Интернет», а также в иных источниках информации о соцуслугах, доступных для всех категорий граждан.</w:t>
      </w:r>
    </w:p>
    <w:p w:rsidR="00964D30" w:rsidRPr="00F4404B" w:rsidRDefault="00964D30" w:rsidP="00964D30">
      <w:pPr>
        <w:spacing w:before="100" w:beforeAutospacing="1" w:after="330" w:line="270" w:lineRule="atLeast"/>
        <w:jc w:val="both"/>
        <w:rPr>
          <w:rFonts w:ascii="PTSans" w:eastAsia="Times New Roman" w:hAnsi="PTSans" w:cs="Times New Roman"/>
          <w:sz w:val="24"/>
          <w:szCs w:val="24"/>
          <w:lang w:eastAsia="ru-RU"/>
        </w:rPr>
      </w:pPr>
      <w:r w:rsidRPr="00F4404B">
        <w:rPr>
          <w:rFonts w:ascii="PTSans" w:eastAsia="Times New Roman" w:hAnsi="PTSans" w:cs="Times New Roman"/>
          <w:sz w:val="24"/>
          <w:szCs w:val="24"/>
          <w:lang w:eastAsia="ru-RU"/>
        </w:rPr>
        <w:t>«</w:t>
      </w:r>
      <w:r w:rsidRPr="00F4404B">
        <w:rPr>
          <w:rFonts w:ascii="PTSansItalic" w:eastAsia="Times New Roman" w:hAnsi="PTSansItalic" w:cs="Times New Roman"/>
          <w:i/>
          <w:iCs/>
          <w:sz w:val="24"/>
          <w:szCs w:val="24"/>
          <w:lang w:eastAsia="ru-RU"/>
        </w:rPr>
        <w:t>Необходимо рассмотреть вопросы периодичности независимой оценки качества и доступности услуг в системе соцобслуживания, а также географии охвата получателей соцуслуг. Особое внимание уделить мерам, принимаемым по результатам независимой оценки, в полном ли объеме устраняются недостатки, выявленные в ходе такой оценки, то есть существует ли реальная обратная связь при предоставлении социального обслуживания в регионе</w:t>
      </w:r>
      <w:r w:rsidRPr="00F4404B">
        <w:rPr>
          <w:rFonts w:ascii="PTSans" w:eastAsia="Times New Roman" w:hAnsi="PTSans" w:cs="Times New Roman"/>
          <w:sz w:val="24"/>
          <w:szCs w:val="24"/>
          <w:lang w:eastAsia="ru-RU"/>
        </w:rPr>
        <w:t>», - добавил Владимир Катренко.</w:t>
      </w:r>
    </w:p>
    <w:p w:rsidR="00964D30" w:rsidRPr="00F4404B" w:rsidRDefault="00964D30" w:rsidP="00964D30">
      <w:pPr>
        <w:spacing w:before="100" w:beforeAutospacing="1" w:after="330" w:line="270" w:lineRule="atLeast"/>
        <w:jc w:val="both"/>
        <w:rPr>
          <w:rFonts w:ascii="PTSans" w:eastAsia="Times New Roman" w:hAnsi="PTSans" w:cs="Times New Roman"/>
          <w:sz w:val="24"/>
          <w:szCs w:val="24"/>
          <w:lang w:eastAsia="ru-RU"/>
        </w:rPr>
      </w:pPr>
      <w:r w:rsidRPr="00F4404B">
        <w:rPr>
          <w:rFonts w:ascii="PTSans" w:eastAsia="Times New Roman" w:hAnsi="PTSans" w:cs="Times New Roman"/>
          <w:sz w:val="24"/>
          <w:szCs w:val="24"/>
          <w:lang w:eastAsia="ru-RU"/>
        </w:rPr>
        <w:t>Планируется, что в ходе проверки доступности услуг в сфере социального обслуживания граждан в России за период 2013-2015 годов инспекторы Счетной палаты посетят Тульскую, Пензенскую и Рязанскую области. По итогам рассмотрения результатов проверки Коллегией Счетной палаты будет подготовлен доклад Президенту России В.В. Путину.</w:t>
      </w:r>
    </w:p>
    <w:p w:rsidR="00964D30" w:rsidRPr="00F4404B" w:rsidRDefault="00964D30" w:rsidP="00EA023E">
      <w:pPr>
        <w:spacing w:before="100" w:beforeAutospacing="1" w:after="330" w:line="270" w:lineRule="atLeast"/>
        <w:jc w:val="both"/>
        <w:rPr>
          <w:rStyle w:val="a6"/>
          <w:color w:val="auto"/>
          <w:sz w:val="24"/>
          <w:szCs w:val="24"/>
        </w:rPr>
      </w:pPr>
      <w:bookmarkStart w:id="5" w:name="1"/>
      <w:bookmarkEnd w:id="5"/>
      <w:r w:rsidRPr="00F4404B">
        <w:rPr>
          <w:rFonts w:ascii="PTSansBold" w:eastAsia="Times New Roman" w:hAnsi="PTSansBold" w:cs="Times New Roman"/>
          <w:b/>
          <w:bCs/>
          <w:sz w:val="24"/>
          <w:szCs w:val="24"/>
          <w:vertAlign w:val="superscript"/>
          <w:lang w:eastAsia="ru-RU"/>
        </w:rPr>
        <w:t xml:space="preserve">1 </w:t>
      </w:r>
      <w:r w:rsidRPr="00F4404B">
        <w:rPr>
          <w:rFonts w:ascii="PTSansBold" w:eastAsia="Times New Roman" w:hAnsi="PTSansBold" w:cs="Times New Roman"/>
          <w:b/>
          <w:bCs/>
          <w:sz w:val="24"/>
          <w:szCs w:val="24"/>
          <w:lang w:eastAsia="ru-RU"/>
        </w:rPr>
        <w:t xml:space="preserve">Контрольное мероприятие «Проверка доступности услуг в сфере социального обслуживания граждан в Российской Федерации, в том числе в удаленных </w:t>
      </w:r>
      <w:r w:rsidR="00EA023E" w:rsidRPr="00F4404B">
        <w:rPr>
          <w:rFonts w:ascii="PTSansBold" w:eastAsia="Times New Roman" w:hAnsi="PTSansBold" w:cs="Times New Roman"/>
          <w:b/>
          <w:bCs/>
          <w:sz w:val="24"/>
          <w:szCs w:val="24"/>
          <w:lang w:eastAsia="ru-RU"/>
        </w:rPr>
        <w:t xml:space="preserve">районах и в сельской местности» - </w:t>
      </w:r>
      <w:hyperlink r:id="rId14" w:anchor="1" w:history="1">
        <w:r w:rsidRPr="00F4404B">
          <w:rPr>
            <w:rStyle w:val="a6"/>
            <w:color w:val="auto"/>
            <w:sz w:val="24"/>
            <w:szCs w:val="24"/>
          </w:rPr>
          <w:t>http://www.ach.gov.ru/press_center/news/26239#1</w:t>
        </w:r>
      </w:hyperlink>
    </w:p>
    <w:p w:rsidR="00964D30" w:rsidRPr="00F4404B" w:rsidRDefault="00964D30" w:rsidP="00964D30"/>
    <w:p w:rsidR="0061539F" w:rsidRPr="00F4404B" w:rsidRDefault="0061539F" w:rsidP="0061539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EA023E" w:rsidRPr="00F440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Вернут ли регионы государству 2,3 триллиона рублей</w:t>
      </w:r>
      <w:r w:rsidRPr="00F440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  <w:r w:rsidR="00EA023E" w:rsidRPr="00F440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"Парламентская газета"</w:t>
      </w:r>
      <w:r w:rsidRPr="00F440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от </w:t>
      </w:r>
      <w:r w:rsidRPr="00F44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 мая 2016 г.</w:t>
      </w:r>
    </w:p>
    <w:p w:rsidR="0061539F" w:rsidRPr="00F4404B" w:rsidRDefault="00AF3DE6" w:rsidP="0061539F">
      <w:pPr>
        <w:pStyle w:val="a7"/>
        <w:jc w:val="right"/>
        <w:rPr>
          <w:b/>
          <w:bCs/>
          <w:color w:val="0070C0"/>
          <w:kern w:val="36"/>
          <w:sz w:val="20"/>
          <w:szCs w:val="20"/>
        </w:rPr>
      </w:pPr>
      <w:hyperlink r:id="rId15" w:history="1">
        <w:r w:rsidR="0061539F" w:rsidRPr="00F4404B">
          <w:rPr>
            <w:rStyle w:val="a6"/>
            <w:b/>
            <w:bCs/>
            <w:color w:val="0070C0"/>
            <w:kern w:val="36"/>
            <w:sz w:val="20"/>
            <w:szCs w:val="20"/>
          </w:rPr>
          <w:t>https://www.pnp.ru/news/detail/130523</w:t>
        </w:r>
      </w:hyperlink>
    </w:p>
    <w:p w:rsidR="0061539F" w:rsidRPr="00F4404B" w:rsidRDefault="0061539F" w:rsidP="0061539F">
      <w:pPr>
        <w:pStyle w:val="a7"/>
        <w:jc w:val="both"/>
      </w:pPr>
      <w:r w:rsidRPr="00F4404B">
        <w:rPr>
          <w:b/>
          <w:bCs/>
        </w:rPr>
        <w:t>В Совете Федерации разрабатывают новую политику взаимоотношений центра с периферией.</w:t>
      </w:r>
    </w:p>
    <w:p w:rsidR="0061539F" w:rsidRPr="00F4404B" w:rsidRDefault="0061539F" w:rsidP="0061539F">
      <w:pPr>
        <w:pStyle w:val="a7"/>
        <w:jc w:val="both"/>
      </w:pPr>
      <w:r w:rsidRPr="00F4404B">
        <w:t>Регионы продолжают нищать, а предпринимаемые Правительством меры не эффективны. К такому выводу пришли участники заседания научно-экспертного совета при Председателе Совета Федерации в ходе обсуждения экономических и бюджетно-финансовых основ федерализма.</w:t>
      </w:r>
    </w:p>
    <w:p w:rsidR="0061539F" w:rsidRPr="00F4404B" w:rsidRDefault="0061539F" w:rsidP="0061539F">
      <w:pPr>
        <w:pStyle w:val="a7"/>
        <w:jc w:val="both"/>
      </w:pPr>
      <w:r w:rsidRPr="00F4404B">
        <w:t>Реальный федерализм предполагает наличие у регионов возможности для обеспечения всем россиянам определённого качества жизни: нормальные доходы, хорошее образование и здравоохранение. Однако относительно высоким уровнем жизни сегодня могут похвастать лишь жители считанного количества субъектов Федерации, включая Москву, Санкт-Петербург, Татарстан.</w:t>
      </w:r>
    </w:p>
    <w:p w:rsidR="0061539F" w:rsidRPr="00F4404B" w:rsidRDefault="0061539F" w:rsidP="0061539F">
      <w:pPr>
        <w:pStyle w:val="a7"/>
        <w:jc w:val="both"/>
      </w:pPr>
      <w:r w:rsidRPr="00F4404B">
        <w:t>По данным Счётной палаты, за последние 4 года количество профицитных регионов сократилось в три раза. Устойчивая тенденция исполнения региональных бюджетов с дефицитом привела к существенному росту государственного долга в регионах. С 2011 по 2016 года госдолг субъектов увеличился с 1,2 до 2,3 триллиона рублей. Это обстоятельство серьёзно влияет на исполнения регионами своих полномочий: тут и отсутствие дорог, детских садов, снижение социальных выплат. Очевидно, считает глава Совета Федерации Валентина Матвиенко, что вопрос перехода на принципиально новый уровень государственной региональной политики давно назрел.</w:t>
      </w:r>
    </w:p>
    <w:p w:rsidR="0061539F" w:rsidRPr="00F4404B" w:rsidRDefault="0061539F" w:rsidP="0061539F">
      <w:pPr>
        <w:pStyle w:val="a7"/>
        <w:jc w:val="both"/>
        <w:rPr>
          <w:b/>
        </w:rPr>
      </w:pPr>
      <w:r w:rsidRPr="00F4404B">
        <w:rPr>
          <w:b/>
        </w:rPr>
        <w:t>76 убыточных регионов</w:t>
      </w:r>
    </w:p>
    <w:p w:rsidR="0061539F" w:rsidRPr="00F4404B" w:rsidRDefault="0061539F" w:rsidP="0061539F">
      <w:pPr>
        <w:pStyle w:val="a7"/>
        <w:jc w:val="both"/>
      </w:pPr>
      <w:r w:rsidRPr="00F4404B">
        <w:t>- Долгое время у нас декларировалась политика выравнивания регионов, которая заключалась в перераспределении бюджетных средств. Был принят целый ряд федеральных целевых программ, механизмов стимулирования развития отдельных территорий, однако такие механизмы оказались неэффективными, — заявила спикер Совета Федерации. — 76 убыточных регионов говорят, что не всё ладно у нас.</w:t>
      </w:r>
    </w:p>
    <w:p w:rsidR="0061539F" w:rsidRPr="00F4404B" w:rsidRDefault="0061539F" w:rsidP="0061539F">
      <w:pPr>
        <w:pStyle w:val="a7"/>
        <w:jc w:val="both"/>
      </w:pPr>
      <w:r w:rsidRPr="00F4404B">
        <w:t>К примеру, в течение пяти лет в стране действовала программа сокращения различий в социально-экономическом развитии регионов. А уровень межрегиональной дифференциации за это время только увеличился. По данным Росстата, в 2001 году максимальный валовой региональный продукт (ВРП) на душу населения в 17 раз превышал минимальный. В 2014 году разница между богатыми и бедными субъектами выросла уже в 41 раз.</w:t>
      </w:r>
    </w:p>
    <w:p w:rsidR="0061539F" w:rsidRPr="00F4404B" w:rsidRDefault="0061539F" w:rsidP="0061539F">
      <w:pPr>
        <w:pStyle w:val="a7"/>
        <w:jc w:val="both"/>
      </w:pPr>
      <w:r w:rsidRPr="00F4404B">
        <w:t>Действующая модель государственной политики искажает мотивацию к работе у руководителей регионов, заставляя тех вместо поиска способов развития территории выстраивать отношения с федеральным центром в надежде на субвенции. В этом спикер Совета Федерации видит отход от истинного федерализма.</w:t>
      </w:r>
    </w:p>
    <w:p w:rsidR="0061539F" w:rsidRPr="00F4404B" w:rsidRDefault="0061539F" w:rsidP="0061539F">
      <w:pPr>
        <w:pStyle w:val="a7"/>
        <w:jc w:val="both"/>
      </w:pPr>
      <w:r w:rsidRPr="00F4404B">
        <w:t>Мировой опыт федерализма выработал универсальную формулу: полномочия — это финансы, нет финансов — нет полномочий. Бюджетная же система России сохраняет систему чрезмерной централизации налогово-бюджетных полномочий, отметила Валентина Матвиенко. Основная часть доходов и расходов распределяется на федеральном уровне.</w:t>
      </w:r>
    </w:p>
    <w:p w:rsidR="0061539F" w:rsidRPr="00F4404B" w:rsidRDefault="0061539F" w:rsidP="0061539F">
      <w:pPr>
        <w:pStyle w:val="a7"/>
        <w:jc w:val="both"/>
      </w:pPr>
      <w:r w:rsidRPr="00F4404B">
        <w:t>Вместе с тем от принципа выравнивания отказываться нельзя, полагает глава Совета Федерации, он должен оставаться частью государственной поддержки регионов. Но основной акцент необходимо сделать на развитие системы стимулирования субъектов к самостоятельному развитию.</w:t>
      </w:r>
    </w:p>
    <w:p w:rsidR="0061539F" w:rsidRPr="00F4404B" w:rsidRDefault="0061539F" w:rsidP="0061539F">
      <w:pPr>
        <w:pStyle w:val="a7"/>
        <w:jc w:val="both"/>
      </w:pPr>
      <w:r w:rsidRPr="00F4404B">
        <w:t>По поручению Совбеза Советом Федерации сейчас готовится доклад об основных направлениях государственной региональной политики. Рабочий вариант документа уже разослан в субъекты. В июне он будет представлен на заседании Совета безопасности.</w:t>
      </w:r>
    </w:p>
    <w:p w:rsidR="0061539F" w:rsidRPr="00F4404B" w:rsidRDefault="0061539F" w:rsidP="0061539F">
      <w:pPr>
        <w:pStyle w:val="a7"/>
        <w:jc w:val="both"/>
        <w:rPr>
          <w:b/>
        </w:rPr>
      </w:pPr>
      <w:r w:rsidRPr="00F4404B">
        <w:rPr>
          <w:b/>
        </w:rPr>
        <w:t>Теория и практика</w:t>
      </w:r>
    </w:p>
    <w:p w:rsidR="0061539F" w:rsidRPr="00F4404B" w:rsidRDefault="0061539F" w:rsidP="0061539F">
      <w:pPr>
        <w:pStyle w:val="a7"/>
        <w:jc w:val="both"/>
      </w:pPr>
      <w:r w:rsidRPr="00F4404B">
        <w:t>Вытягивать регионы из очевидной стагнации по логике должны специалисты Министерства экономического развития. Однако никаких новых революционных шагов в ведомстве предложить не смогли. Замминистра Сергей Назаров выступая на заседании, перечислил количество открытых территорий опережающего развития (ТОР) и особых экономических зон (ОЭЗ), но больше говорил о «совершенствовании системы оценки» и стратегии пространственного развития.</w:t>
      </w:r>
    </w:p>
    <w:p w:rsidR="0061539F" w:rsidRPr="00F4404B" w:rsidRDefault="0061539F" w:rsidP="0061539F">
      <w:pPr>
        <w:pStyle w:val="a7"/>
        <w:jc w:val="both"/>
      </w:pPr>
      <w:r w:rsidRPr="00F4404B">
        <w:t>«Вы говорите правильные, теоретические вещи, — согласилась с ним Валентина Матвиенко, — но хотелось бы больше конкретики».</w:t>
      </w:r>
    </w:p>
    <w:p w:rsidR="0061539F" w:rsidRPr="00F4404B" w:rsidRDefault="0061539F" w:rsidP="0061539F">
      <w:pPr>
        <w:pStyle w:val="a7"/>
        <w:jc w:val="both"/>
      </w:pPr>
      <w:r w:rsidRPr="00F4404B">
        <w:t>А конкретика такова, что федеральный центр не справляется в созидании институтов и механизмов повышения инвестиционного потенциала регионов. Все эти ТОРы, ОЭЗ, технопарки и другие инструменты развития, по словам глава Счётной палаты Татьяны Голиковой, не работают как надо, а вот деньги уходят.</w:t>
      </w:r>
    </w:p>
    <w:p w:rsidR="0061539F" w:rsidRPr="00F4404B" w:rsidRDefault="0061539F" w:rsidP="0061539F">
      <w:pPr>
        <w:pStyle w:val="a7"/>
        <w:jc w:val="both"/>
      </w:pPr>
      <w:r w:rsidRPr="00F4404B">
        <w:t>К примеру, федеральная адресная инвестиционная программа в 2015 году была исполнена на 93,3 процента, её региональный сегмент — на 89,8 процента. При этом на федеральном уровне удалось ввести в строй лишь половину запланированных под неё объектов, и лишь 25 процентов задуманного — на региональном.</w:t>
      </w:r>
    </w:p>
    <w:p w:rsidR="0061539F" w:rsidRPr="00F4404B" w:rsidRDefault="0061539F" w:rsidP="0061539F">
      <w:pPr>
        <w:pStyle w:val="a7"/>
        <w:jc w:val="both"/>
      </w:pPr>
      <w:r w:rsidRPr="00F4404B">
        <w:t>- Необязательно по всей территории России навязывать особые экономические зоны, — подчеркнула глава Счётной палаты. — К сожалению, сейчас, когда принимается такое решение, не изучают ни качество жизни в субъектах, ни показатели экономического и демографического развития. Это не даёт правильно выстроить саму финансовую поддержку региона.</w:t>
      </w:r>
    </w:p>
    <w:p w:rsidR="0061539F" w:rsidRPr="00F4404B" w:rsidRDefault="0061539F" w:rsidP="0061539F">
      <w:pPr>
        <w:pStyle w:val="a7"/>
        <w:jc w:val="both"/>
        <w:rPr>
          <w:b/>
        </w:rPr>
      </w:pPr>
      <w:r w:rsidRPr="00F4404B">
        <w:rPr>
          <w:b/>
        </w:rPr>
        <w:t>«Верните 5 процентов»</w:t>
      </w:r>
    </w:p>
    <w:p w:rsidR="0061539F" w:rsidRPr="00F4404B" w:rsidRDefault="0061539F" w:rsidP="0061539F">
      <w:pPr>
        <w:pStyle w:val="a7"/>
        <w:jc w:val="both"/>
      </w:pPr>
      <w:r w:rsidRPr="00F4404B">
        <w:t>За последние годы федеральный центр делегировал субъектам 117 полномочий, на исполнение которых у них нет средств. «Сейчас это происходит за счёт трансфертов из федерального бюджета. При этом средства зачастую перечисляются регионам в конце года, чуть ли не под бой курантов», — констатировала спикер верхней палаты парламента.</w:t>
      </w:r>
    </w:p>
    <w:p w:rsidR="0061539F" w:rsidRPr="00F4404B" w:rsidRDefault="0061539F" w:rsidP="0061539F">
      <w:pPr>
        <w:pStyle w:val="a7"/>
        <w:jc w:val="both"/>
      </w:pPr>
      <w:r w:rsidRPr="00F4404B">
        <w:t>Валентина Матвиенко убеждена, что финансировать передаваемые полномочия необходимо за счёт увеличения доли доходов, которая должна поступать в региональные бюджеты. «То есть обеспечить полномочия постоянными источниками финансирования, а не средствами, идущими в рамках перераспределения от Минфина», — пояснила она.</w:t>
      </w:r>
    </w:p>
    <w:p w:rsidR="0061539F" w:rsidRPr="00F4404B" w:rsidRDefault="0061539F" w:rsidP="0061539F">
      <w:pPr>
        <w:pStyle w:val="a7"/>
        <w:jc w:val="both"/>
      </w:pPr>
      <w:r w:rsidRPr="00F4404B">
        <w:t>Это позволит главам регионов более обоснованно прогнозировать объём поступлений средств в местные бюджеты, а власть на местах будет больше заинтересована в росте собственного экономического и налогового потенциала.</w:t>
      </w:r>
    </w:p>
    <w:p w:rsidR="0061539F" w:rsidRPr="00F4404B" w:rsidRDefault="0061539F" w:rsidP="0061539F">
      <w:pPr>
        <w:pStyle w:val="a7"/>
        <w:jc w:val="both"/>
      </w:pPr>
      <w:r w:rsidRPr="00F4404B">
        <w:t>Больше всего старая схема перераспределения бюджетных средств задевала немногие оставшиеся регионы-доноры. По их представлению, остальные субъекты живут по принципу: «Кто не работает, тот ест».</w:t>
      </w:r>
    </w:p>
    <w:p w:rsidR="0061539F" w:rsidRPr="00F4404B" w:rsidRDefault="0061539F" w:rsidP="0061539F">
      <w:pPr>
        <w:pStyle w:val="a7"/>
        <w:jc w:val="both"/>
      </w:pPr>
      <w:r w:rsidRPr="00F4404B">
        <w:t>По итогам прошлого года объём ВРП Республики Татарстан составил 1,825 триллиона рублей. Ранее в стране законодательно была утверждена норма о паритетном распределением налоговых доходов между федеральным центром и регионами. До 2001 года налоги делили 50 на 50. Сейчас в бюджетном кодексе такой гарантии нет. При этом за последние три года пропорция распределения налогов в Татарстане составляла 45 на 55.</w:t>
      </w:r>
    </w:p>
    <w:p w:rsidR="0061539F" w:rsidRPr="00F4404B" w:rsidRDefault="0061539F" w:rsidP="0061539F">
      <w:pPr>
        <w:pStyle w:val="a7"/>
        <w:jc w:val="both"/>
      </w:pPr>
      <w:r w:rsidRPr="00F4404B">
        <w:t>- Эти пять процентов для нас очень важны и позволили бы дальше наращивать наш доходный потенциал, — подчеркнул глава Республики Рустам Минниханов.</w:t>
      </w:r>
    </w:p>
    <w:p w:rsidR="0061539F" w:rsidRPr="00F4404B" w:rsidRDefault="0061539F" w:rsidP="0061539F">
      <w:pPr>
        <w:pStyle w:val="a7"/>
        <w:jc w:val="both"/>
      </w:pPr>
      <w:r w:rsidRPr="00F4404B">
        <w:t>Кроме того, регионы давно просят отменить монополию федеральных льгот на налоги, которые должны идти в местные бюджеты. Такая «упущенная прибыль» только в Татарстане в 2014 году вышла на 9,6 миллиарда рублей.</w:t>
      </w:r>
    </w:p>
    <w:p w:rsidR="0061539F" w:rsidRPr="00F4404B" w:rsidRDefault="0061539F" w:rsidP="0061539F">
      <w:pPr>
        <w:pStyle w:val="a7"/>
        <w:jc w:val="both"/>
      </w:pPr>
      <w:r w:rsidRPr="00F4404B">
        <w:t>Глава Минфина Антон Силуанов согласился с необходимостью отмены льгот, установленных на федеральном уровне по региональным или федеральным налогам в части, зачисляемой в региональные бюджеты, но только постепенно, в течение пяти лет. Также Минфин готов рассмотреть возможность увеличения доли акцизов на алкогольную продукцию, зачисляемой в бюджеты регионов.</w:t>
      </w:r>
    </w:p>
    <w:p w:rsidR="0061539F" w:rsidRPr="00F4404B" w:rsidRDefault="0061539F" w:rsidP="0061539F">
      <w:pPr>
        <w:pStyle w:val="a7"/>
        <w:jc w:val="both"/>
      </w:pPr>
      <w:r w:rsidRPr="00F4404B">
        <w:t>По мнению Антона Силуанова, такой шаг даст регионам возможность чётче представлять направление своих расходов и сократить объём государственного долга.</w:t>
      </w:r>
    </w:p>
    <w:p w:rsidR="0061539F" w:rsidRPr="00F4404B" w:rsidRDefault="0061539F" w:rsidP="0061539F">
      <w:pPr>
        <w:pStyle w:val="a7"/>
        <w:jc w:val="both"/>
      </w:pPr>
      <w:r w:rsidRPr="00F4404B">
        <w:rPr>
          <w:i/>
          <w:iCs/>
        </w:rPr>
        <w:t xml:space="preserve">Автор: Геннадий Мельник </w:t>
      </w:r>
    </w:p>
    <w:p w:rsidR="0061539F" w:rsidRPr="00F4404B" w:rsidRDefault="00AF3DE6" w:rsidP="0061539F">
      <w:pPr>
        <w:pStyle w:val="a7"/>
        <w:jc w:val="both"/>
      </w:pPr>
      <w:hyperlink r:id="rId16" w:history="1">
        <w:r w:rsidR="0061539F" w:rsidRPr="0022183E">
          <w:rPr>
            <w:rStyle w:val="a6"/>
            <w:color w:val="auto"/>
            <w:u w:val="none"/>
          </w:rPr>
          <w:t>Статья</w:t>
        </w:r>
      </w:hyperlink>
      <w:r w:rsidR="0061539F" w:rsidRPr="00F4404B">
        <w:t xml:space="preserve"> опубликована на сайте «Парламентской газеты» 30 мая 2016 года - </w:t>
      </w:r>
      <w:hyperlink r:id="rId17" w:history="1">
        <w:r w:rsidR="0061539F" w:rsidRPr="00F4404B">
          <w:rPr>
            <w:rStyle w:val="a6"/>
            <w:color w:val="0070C0"/>
          </w:rPr>
          <w:t>https://www.pnp.ru/news/detail/130523</w:t>
        </w:r>
      </w:hyperlink>
    </w:p>
    <w:p w:rsidR="0061539F" w:rsidRPr="00F4404B" w:rsidRDefault="0061539F" w:rsidP="0061539F">
      <w:pPr>
        <w:pStyle w:val="a7"/>
        <w:jc w:val="both"/>
      </w:pPr>
    </w:p>
    <w:p w:rsidR="0061539F" w:rsidRPr="00F4404B" w:rsidRDefault="0061539F" w:rsidP="0061539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6" w:name="_GoBack"/>
      <w:bookmarkEnd w:id="6"/>
    </w:p>
    <w:sectPr w:rsidR="0061539F" w:rsidRPr="00F4404B" w:rsidSect="00C310F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DE6" w:rsidRDefault="00AF3DE6" w:rsidP="00C310FE">
      <w:pPr>
        <w:spacing w:after="0" w:line="240" w:lineRule="auto"/>
      </w:pPr>
      <w:r>
        <w:separator/>
      </w:r>
    </w:p>
  </w:endnote>
  <w:endnote w:type="continuationSeparator" w:id="0">
    <w:p w:rsidR="00AF3DE6" w:rsidRDefault="00AF3DE6" w:rsidP="00C31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SansBold">
    <w:altName w:val="Times New Roman"/>
    <w:charset w:val="00"/>
    <w:family w:val="auto"/>
    <w:pitch w:val="default"/>
  </w:font>
  <w:font w:name="PTSans">
    <w:altName w:val="Times New Roman"/>
    <w:charset w:val="00"/>
    <w:family w:val="auto"/>
    <w:pitch w:val="default"/>
  </w:font>
  <w:font w:name="PTSansItalic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04B" w:rsidRDefault="00F4404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7075847"/>
      <w:docPartObj>
        <w:docPartGallery w:val="Page Numbers (Bottom of Page)"/>
        <w:docPartUnique/>
      </w:docPartObj>
    </w:sdtPr>
    <w:sdtEndPr/>
    <w:sdtContent>
      <w:p w:rsidR="00692013" w:rsidRDefault="0069201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DE6">
          <w:rPr>
            <w:noProof/>
          </w:rPr>
          <w:t>1</w:t>
        </w:r>
        <w:r>
          <w:fldChar w:fldCharType="end"/>
        </w:r>
      </w:p>
    </w:sdtContent>
  </w:sdt>
  <w:p w:rsidR="00692013" w:rsidRDefault="0069201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04B" w:rsidRDefault="00F4404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DE6" w:rsidRDefault="00AF3DE6" w:rsidP="00C310FE">
      <w:pPr>
        <w:spacing w:after="0" w:line="240" w:lineRule="auto"/>
      </w:pPr>
      <w:r>
        <w:separator/>
      </w:r>
    </w:p>
  </w:footnote>
  <w:footnote w:type="continuationSeparator" w:id="0">
    <w:p w:rsidR="00AF3DE6" w:rsidRDefault="00AF3DE6" w:rsidP="00C31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04B" w:rsidRDefault="00F4404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color w:val="76923C" w:themeColor="accent3" w:themeShade="BF"/>
        <w:sz w:val="32"/>
        <w:szCs w:val="32"/>
      </w:rPr>
      <w:alias w:val="Название"/>
      <w:id w:val="77738743"/>
      <w:placeholder>
        <w:docPart w:val="359ABA32D16B427F96738136F5F5D81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4404B" w:rsidRPr="00EA5969" w:rsidRDefault="00F4404B">
        <w:pPr>
          <w:pStyle w:val="a8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color w:val="76923C" w:themeColor="accent3" w:themeShade="BF"/>
            <w:sz w:val="32"/>
            <w:szCs w:val="32"/>
          </w:rPr>
        </w:pPr>
        <w:r w:rsidRPr="00EA5969">
          <w:rPr>
            <w:rFonts w:asciiTheme="majorHAnsi" w:eastAsiaTheme="majorEastAsia" w:hAnsiTheme="majorHAnsi" w:cstheme="majorBidi"/>
            <w:b/>
            <w:color w:val="76923C" w:themeColor="accent3" w:themeShade="BF"/>
            <w:sz w:val="32"/>
            <w:szCs w:val="32"/>
          </w:rPr>
          <w:t xml:space="preserve">Электронный </w:t>
        </w:r>
        <w:r w:rsidR="00EA5969" w:rsidRPr="00EA5969">
          <w:rPr>
            <w:rFonts w:asciiTheme="majorHAnsi" w:eastAsiaTheme="majorEastAsia" w:hAnsiTheme="majorHAnsi" w:cstheme="majorBidi"/>
            <w:b/>
            <w:color w:val="76923C" w:themeColor="accent3" w:themeShade="BF"/>
            <w:sz w:val="32"/>
            <w:szCs w:val="32"/>
          </w:rPr>
          <w:t>сборник</w:t>
        </w:r>
        <w:r w:rsidRPr="00EA5969">
          <w:rPr>
            <w:rFonts w:asciiTheme="majorHAnsi" w:eastAsiaTheme="majorEastAsia" w:hAnsiTheme="majorHAnsi" w:cstheme="majorBidi"/>
            <w:b/>
            <w:color w:val="76923C" w:themeColor="accent3" w:themeShade="BF"/>
            <w:sz w:val="32"/>
            <w:szCs w:val="32"/>
          </w:rPr>
          <w:t xml:space="preserve"> Совета КСО Томской области</w:t>
        </w:r>
      </w:p>
    </w:sdtContent>
  </w:sdt>
  <w:p w:rsidR="00F4404B" w:rsidRDefault="00F4404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04B" w:rsidRDefault="00F4404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60pt;height:630pt;flip:x;visibility:visible;mso-wrap-style:square" o:bullet="t">
        <v:imagedata r:id="rId1" o:title="1280px-Black_telephone_icon_from_DejaVu_Sans"/>
      </v:shape>
    </w:pict>
  </w:numPicBullet>
  <w:abstractNum w:abstractNumId="0">
    <w:nsid w:val="02E53DF5"/>
    <w:multiLevelType w:val="hybridMultilevel"/>
    <w:tmpl w:val="DF1E3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3260A"/>
    <w:multiLevelType w:val="hybridMultilevel"/>
    <w:tmpl w:val="1562D21A"/>
    <w:lvl w:ilvl="0" w:tplc="AAF87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91720"/>
    <w:multiLevelType w:val="hybridMultilevel"/>
    <w:tmpl w:val="3556963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40B53066"/>
    <w:multiLevelType w:val="hybridMultilevel"/>
    <w:tmpl w:val="529A74A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4330598E"/>
    <w:multiLevelType w:val="hybridMultilevel"/>
    <w:tmpl w:val="26944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8C0446"/>
    <w:multiLevelType w:val="hybridMultilevel"/>
    <w:tmpl w:val="2460E0CA"/>
    <w:lvl w:ilvl="0" w:tplc="2996DC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2A67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92D6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648A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6A65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1A64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4609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FA6E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5693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70C7F00"/>
    <w:multiLevelType w:val="multilevel"/>
    <w:tmpl w:val="858A62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91E3B68"/>
    <w:multiLevelType w:val="hybridMultilevel"/>
    <w:tmpl w:val="A0986F96"/>
    <w:lvl w:ilvl="0" w:tplc="AAF87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30"/>
    <w:rsid w:val="00091788"/>
    <w:rsid w:val="000C77B3"/>
    <w:rsid w:val="0010013F"/>
    <w:rsid w:val="0022183E"/>
    <w:rsid w:val="003C34DF"/>
    <w:rsid w:val="00571C0A"/>
    <w:rsid w:val="0061539F"/>
    <w:rsid w:val="00637BBB"/>
    <w:rsid w:val="00692013"/>
    <w:rsid w:val="007478A8"/>
    <w:rsid w:val="00756E02"/>
    <w:rsid w:val="007C02DE"/>
    <w:rsid w:val="008466F2"/>
    <w:rsid w:val="008C1D17"/>
    <w:rsid w:val="008F72D1"/>
    <w:rsid w:val="00964D30"/>
    <w:rsid w:val="009A7F23"/>
    <w:rsid w:val="00AB4513"/>
    <w:rsid w:val="00AD3326"/>
    <w:rsid w:val="00AF3DE6"/>
    <w:rsid w:val="00BD53EF"/>
    <w:rsid w:val="00C310FE"/>
    <w:rsid w:val="00CB59B0"/>
    <w:rsid w:val="00EA023E"/>
    <w:rsid w:val="00EA5969"/>
    <w:rsid w:val="00F4404B"/>
    <w:rsid w:val="00F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30"/>
  </w:style>
  <w:style w:type="paragraph" w:styleId="1">
    <w:name w:val="heading 1"/>
    <w:basedOn w:val="a"/>
    <w:link w:val="10"/>
    <w:uiPriority w:val="9"/>
    <w:qFormat/>
    <w:rsid w:val="00EA02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D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4D3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64D30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C31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31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10FE"/>
  </w:style>
  <w:style w:type="paragraph" w:styleId="aa">
    <w:name w:val="footer"/>
    <w:basedOn w:val="a"/>
    <w:link w:val="ab"/>
    <w:uiPriority w:val="99"/>
    <w:unhideWhenUsed/>
    <w:rsid w:val="00C31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10FE"/>
  </w:style>
  <w:style w:type="character" w:customStyle="1" w:styleId="10">
    <w:name w:val="Заголовок 1 Знак"/>
    <w:basedOn w:val="a0"/>
    <w:link w:val="1"/>
    <w:uiPriority w:val="9"/>
    <w:rsid w:val="00EA02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EA59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EA59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EA59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EA59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30"/>
  </w:style>
  <w:style w:type="paragraph" w:styleId="1">
    <w:name w:val="heading 1"/>
    <w:basedOn w:val="a"/>
    <w:link w:val="10"/>
    <w:uiPriority w:val="9"/>
    <w:qFormat/>
    <w:rsid w:val="00EA02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D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4D3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64D30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C31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31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10FE"/>
  </w:style>
  <w:style w:type="paragraph" w:styleId="aa">
    <w:name w:val="footer"/>
    <w:basedOn w:val="a"/>
    <w:link w:val="ab"/>
    <w:uiPriority w:val="99"/>
    <w:unhideWhenUsed/>
    <w:rsid w:val="00C31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10FE"/>
  </w:style>
  <w:style w:type="character" w:customStyle="1" w:styleId="10">
    <w:name w:val="Заголовок 1 Знак"/>
    <w:basedOn w:val="a0"/>
    <w:link w:val="1"/>
    <w:uiPriority w:val="9"/>
    <w:rsid w:val="00EA02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EA59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EA59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EA59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EA59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2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ch.gov.ru/press_center/news/26239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https://www.pnp.ru/news/detail/130523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s://www.pnp.ru/news/detail/130523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D7887E998FBB42D35C746E815D49189985F5A803FBF97528E29F776A2A206EB98C898D5B06ABC1549F4F7p5NAF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pnp.ru/news/detail/130523" TargetMode="External"/><Relationship Id="rId23" Type="http://schemas.openxmlformats.org/officeDocument/2006/relationships/footer" Target="footer3.xml"/><Relationship Id="rId10" Type="http://schemas.openxmlformats.org/officeDocument/2006/relationships/hyperlink" Target="consultantplus://offline/ref=B0678EF13571D9F019AB1FD805E67AA160BE22B636F211428E2D4A4CBBD4CAE6D37959CD5DE9A55EA3IAE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mailto:GubinaTV@audit.tomsk.ru" TargetMode="External"/><Relationship Id="rId14" Type="http://schemas.openxmlformats.org/officeDocument/2006/relationships/hyperlink" Target="http://www.ach.gov.ru/press_center/news/26239" TargetMode="External"/><Relationship Id="rId22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59ABA32D16B427F96738136F5F5D8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50EFE6-9AED-4DF7-B8D2-6017AF3E52AE}"/>
      </w:docPartPr>
      <w:docPartBody>
        <w:p w:rsidR="0079073C" w:rsidRDefault="00067214" w:rsidP="00067214">
          <w:pPr>
            <w:pStyle w:val="359ABA32D16B427F96738136F5F5D81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SansBold">
    <w:altName w:val="Times New Roman"/>
    <w:charset w:val="00"/>
    <w:family w:val="auto"/>
    <w:pitch w:val="default"/>
  </w:font>
  <w:font w:name="PTSans">
    <w:altName w:val="Times New Roman"/>
    <w:charset w:val="00"/>
    <w:family w:val="auto"/>
    <w:pitch w:val="default"/>
  </w:font>
  <w:font w:name="PTSansItalic">
    <w:altName w:val="Times New Roman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14"/>
    <w:rsid w:val="00067214"/>
    <w:rsid w:val="002A08E5"/>
    <w:rsid w:val="0079073C"/>
    <w:rsid w:val="00E6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59ABA32D16B427F96738136F5F5D816">
    <w:name w:val="359ABA32D16B427F96738136F5F5D816"/>
    <w:rsid w:val="00067214"/>
  </w:style>
  <w:style w:type="paragraph" w:customStyle="1" w:styleId="7651B4EF554447F58AFC45CEE6C1A513">
    <w:name w:val="7651B4EF554447F58AFC45CEE6C1A513"/>
    <w:rsid w:val="00067214"/>
  </w:style>
  <w:style w:type="paragraph" w:customStyle="1" w:styleId="F46B539C7FE64DE9802C7D6F1F1D4326">
    <w:name w:val="F46B539C7FE64DE9802C7D6F1F1D4326"/>
    <w:rsid w:val="00067214"/>
  </w:style>
  <w:style w:type="paragraph" w:customStyle="1" w:styleId="3B109B94FAC64E3C880BAA49ABC21707">
    <w:name w:val="3B109B94FAC64E3C880BAA49ABC21707"/>
    <w:rsid w:val="0006721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59ABA32D16B427F96738136F5F5D816">
    <w:name w:val="359ABA32D16B427F96738136F5F5D816"/>
    <w:rsid w:val="00067214"/>
  </w:style>
  <w:style w:type="paragraph" w:customStyle="1" w:styleId="7651B4EF554447F58AFC45CEE6C1A513">
    <w:name w:val="7651B4EF554447F58AFC45CEE6C1A513"/>
    <w:rsid w:val="00067214"/>
  </w:style>
  <w:style w:type="paragraph" w:customStyle="1" w:styleId="F46B539C7FE64DE9802C7D6F1F1D4326">
    <w:name w:val="F46B539C7FE64DE9802C7D6F1F1D4326"/>
    <w:rsid w:val="00067214"/>
  </w:style>
  <w:style w:type="paragraph" w:customStyle="1" w:styleId="3B109B94FAC64E3C880BAA49ABC21707">
    <w:name w:val="3B109B94FAC64E3C880BAA49ABC21707"/>
    <w:rsid w:val="000672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F523D-2E0E-42D1-ABAD-AA666BDA7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25</Pages>
  <Words>8589</Words>
  <Characters>48961</Characters>
  <Application>Microsoft Office Word</Application>
  <DocSecurity>0</DocSecurity>
  <Lines>408</Lines>
  <Paragraphs>114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>Электронный сборник Совета КСО Томской области</vt:lpstr>
      <vt:lpstr>Счетная палата РФ совместно с региональными контрольно-счетными органами проверя</vt:lpstr>
      <vt:lpstr>«Вернут ли регионы государству 2,3 триллиона рублей», "Парламентская газета" (30</vt:lpstr>
      <vt:lpstr/>
      <vt:lpstr/>
      <vt:lpstr/>
      <vt:lpstr>Счетная палата совместно с региональными контрольно-счетными органами приступила</vt:lpstr>
      <vt:lpstr/>
    </vt:vector>
  </TitlesOfParts>
  <Company>Контрольно-счетная палата Томской области</Company>
  <LinksUpToDate>false</LinksUpToDate>
  <CharactersWithSpaces>57436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Электронный сборник Совета КСО Томской области</dc:title>
  <dc:creator>Губина</dc:creator>
  <cp:lastModifiedBy>Губина</cp:lastModifiedBy>
  <cp:revision>9</cp:revision>
  <dcterms:created xsi:type="dcterms:W3CDTF">2016-06-01T03:52:00Z</dcterms:created>
  <dcterms:modified xsi:type="dcterms:W3CDTF">2016-06-09T06:50:00Z</dcterms:modified>
</cp:coreProperties>
</file>